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7" w:type="dxa"/>
        <w:tblLayout w:type="fixed"/>
        <w:tblLook w:val="01E0" w:firstRow="1" w:lastRow="1" w:firstColumn="1" w:lastColumn="1" w:noHBand="0" w:noVBand="0"/>
      </w:tblPr>
      <w:tblGrid>
        <w:gridCol w:w="1809"/>
        <w:gridCol w:w="240"/>
        <w:gridCol w:w="7343"/>
        <w:gridCol w:w="35"/>
      </w:tblGrid>
      <w:tr w:rsidR="00741BCA" w:rsidRPr="008F21C1" w:rsidTr="004D5521">
        <w:trPr>
          <w:cantSplit/>
        </w:trPr>
        <w:tc>
          <w:tcPr>
            <w:tcW w:w="1809" w:type="dxa"/>
            <w:shd w:val="clear" w:color="auto" w:fill="auto"/>
          </w:tcPr>
          <w:p w:rsidR="00741BCA" w:rsidRPr="002C6A03" w:rsidRDefault="00741BCA" w:rsidP="002C6A03">
            <w:pPr>
              <w:spacing w:before="80" w:line="276" w:lineRule="auto"/>
              <w:rPr>
                <w:rFonts w:ascii="Arial" w:hAnsi="Arial" w:cs="Arial"/>
                <w:sz w:val="20"/>
                <w:szCs w:val="20"/>
              </w:rPr>
            </w:pPr>
          </w:p>
        </w:tc>
        <w:tc>
          <w:tcPr>
            <w:tcW w:w="7618" w:type="dxa"/>
            <w:gridSpan w:val="3"/>
            <w:shd w:val="clear" w:color="auto" w:fill="auto"/>
          </w:tcPr>
          <w:p w:rsidR="00741BCA" w:rsidRPr="008F21C1" w:rsidRDefault="00741BCA" w:rsidP="002C6A03">
            <w:pPr>
              <w:spacing w:before="80" w:line="276" w:lineRule="auto"/>
              <w:jc w:val="both"/>
              <w:rPr>
                <w:rFonts w:ascii="Arial" w:hAnsi="Arial" w:cs="Arial"/>
                <w:b/>
                <w:sz w:val="20"/>
                <w:szCs w:val="20"/>
              </w:rPr>
            </w:pPr>
          </w:p>
        </w:tc>
      </w:tr>
      <w:tr w:rsidR="00741BCA" w:rsidRPr="008F21C1" w:rsidTr="004D5521">
        <w:trPr>
          <w:cantSplit/>
        </w:trPr>
        <w:tc>
          <w:tcPr>
            <w:tcW w:w="1809" w:type="dxa"/>
            <w:shd w:val="clear" w:color="auto" w:fill="auto"/>
          </w:tcPr>
          <w:p w:rsidR="00741BCA" w:rsidRPr="002C6A03"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8F21C1" w:rsidRDefault="00741BCA" w:rsidP="00741BCA">
            <w:pPr>
              <w:spacing w:before="80" w:line="276" w:lineRule="auto"/>
              <w:jc w:val="both"/>
              <w:rPr>
                <w:rFonts w:ascii="Arial" w:hAnsi="Arial" w:cs="Arial"/>
                <w:b/>
                <w:sz w:val="20"/>
                <w:szCs w:val="20"/>
              </w:rPr>
            </w:pPr>
            <w:r w:rsidRPr="00AB0675">
              <w:rPr>
                <w:rFonts w:ascii="Arial" w:hAnsi="Arial" w:cs="Arial"/>
                <w:b/>
                <w:sz w:val="20"/>
                <w:szCs w:val="20"/>
              </w:rPr>
              <w:t>Richtlinie zur Ausfertigung von</w:t>
            </w:r>
          </w:p>
        </w:tc>
      </w:tr>
      <w:tr w:rsidR="00741BCA" w:rsidRPr="00594446" w:rsidTr="004D5521">
        <w:trPr>
          <w:cantSplit/>
        </w:trPr>
        <w:tc>
          <w:tcPr>
            <w:tcW w:w="1809" w:type="dxa"/>
            <w:shd w:val="clear" w:color="auto" w:fill="auto"/>
          </w:tcPr>
          <w:p w:rsidR="00741BCA" w:rsidRPr="008F21C1"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0825B4" w:rsidP="00741BCA">
            <w:pPr>
              <w:pStyle w:val="Listenabsatz"/>
              <w:numPr>
                <w:ilvl w:val="0"/>
                <w:numId w:val="35"/>
              </w:numPr>
              <w:spacing w:before="80" w:line="276" w:lineRule="auto"/>
              <w:ind w:left="357" w:hanging="284"/>
              <w:jc w:val="both"/>
              <w:rPr>
                <w:rFonts w:ascii="Arial" w:hAnsi="Arial" w:cs="Arial"/>
                <w:b/>
                <w:sz w:val="20"/>
                <w:szCs w:val="20"/>
              </w:rPr>
            </w:pPr>
            <w:r w:rsidRPr="00594446">
              <w:rPr>
                <w:rFonts w:ascii="Arial" w:hAnsi="Arial" w:cs="Arial"/>
                <w:b/>
                <w:sz w:val="20"/>
                <w:szCs w:val="20"/>
              </w:rPr>
              <w:t>VII.14</w:t>
            </w:r>
            <w:r w:rsidR="00741BCA" w:rsidRPr="00594446">
              <w:rPr>
                <w:rFonts w:ascii="Arial" w:hAnsi="Arial" w:cs="Arial"/>
                <w:b/>
                <w:sz w:val="20"/>
                <w:szCs w:val="20"/>
              </w:rPr>
              <w:t xml:space="preserve">.H Bund (Vertrag Objektplanung </w:t>
            </w:r>
            <w:r w:rsidRPr="00594446">
              <w:rPr>
                <w:rFonts w:ascii="Arial" w:hAnsi="Arial" w:cs="Arial"/>
                <w:b/>
                <w:sz w:val="20"/>
                <w:szCs w:val="20"/>
              </w:rPr>
              <w:t xml:space="preserve">Ingenieurbauwerke </w:t>
            </w:r>
            <w:r w:rsidR="00741BCA" w:rsidRPr="00594446">
              <w:rPr>
                <w:rFonts w:ascii="Arial" w:hAnsi="Arial" w:cs="Arial"/>
                <w:b/>
                <w:sz w:val="20"/>
                <w:szCs w:val="20"/>
              </w:rPr>
              <w:t>– Bund/Gaststreitkräfte)</w:t>
            </w:r>
          </w:p>
          <w:p w:rsidR="00741BCA" w:rsidRPr="00594446" w:rsidRDefault="00741BCA" w:rsidP="00741BCA">
            <w:pPr>
              <w:pStyle w:val="Listenabsatz"/>
              <w:spacing w:before="80" w:line="276" w:lineRule="auto"/>
              <w:ind w:left="357" w:hanging="284"/>
              <w:jc w:val="both"/>
              <w:rPr>
                <w:rFonts w:ascii="Arial" w:hAnsi="Arial" w:cs="Arial"/>
                <w:b/>
                <w:sz w:val="12"/>
                <w:szCs w:val="12"/>
              </w:rPr>
            </w:pPr>
            <w:bookmarkStart w:id="0" w:name="_GoBack"/>
            <w:bookmarkEnd w:id="0"/>
          </w:p>
          <w:p w:rsidR="00741BCA" w:rsidRPr="00594446" w:rsidRDefault="00741BCA" w:rsidP="00741BCA">
            <w:pPr>
              <w:pStyle w:val="Listenabsatz"/>
              <w:numPr>
                <w:ilvl w:val="0"/>
                <w:numId w:val="35"/>
              </w:numPr>
              <w:spacing w:before="80" w:line="276" w:lineRule="auto"/>
              <w:ind w:left="357" w:hanging="284"/>
              <w:jc w:val="both"/>
              <w:rPr>
                <w:rFonts w:ascii="Arial" w:hAnsi="Arial" w:cs="Arial"/>
                <w:b/>
                <w:sz w:val="20"/>
                <w:szCs w:val="20"/>
              </w:rPr>
            </w:pPr>
            <w:r w:rsidRPr="00594446">
              <w:rPr>
                <w:rFonts w:ascii="Arial" w:hAnsi="Arial" w:cs="Arial"/>
                <w:b/>
                <w:sz w:val="20"/>
                <w:szCs w:val="20"/>
              </w:rPr>
              <w:t>VII.1</w:t>
            </w:r>
            <w:r w:rsidR="000825B4" w:rsidRPr="00594446">
              <w:rPr>
                <w:rFonts w:ascii="Arial" w:hAnsi="Arial" w:cs="Arial"/>
                <w:b/>
                <w:sz w:val="20"/>
                <w:szCs w:val="20"/>
              </w:rPr>
              <w:t>4</w:t>
            </w:r>
            <w:r w:rsidRPr="00594446">
              <w:rPr>
                <w:rFonts w:ascii="Arial" w:hAnsi="Arial" w:cs="Arial"/>
                <w:b/>
                <w:sz w:val="20"/>
                <w:szCs w:val="20"/>
              </w:rPr>
              <w:t xml:space="preserve">.2.H Bund (Leistungsumfang Objektplanung </w:t>
            </w:r>
            <w:r w:rsidR="000825B4" w:rsidRPr="00594446">
              <w:rPr>
                <w:rFonts w:ascii="Arial" w:hAnsi="Arial" w:cs="Arial"/>
                <w:b/>
                <w:sz w:val="20"/>
                <w:szCs w:val="20"/>
              </w:rPr>
              <w:t>Ingenieurbauwerke</w:t>
            </w:r>
            <w:r w:rsidRPr="00594446">
              <w:rPr>
                <w:rFonts w:ascii="Arial" w:hAnsi="Arial" w:cs="Arial"/>
                <w:b/>
                <w:sz w:val="20"/>
                <w:szCs w:val="20"/>
              </w:rPr>
              <w:t xml:space="preserve"> – Bund/Gaststreitkräfte)</w:t>
            </w:r>
          </w:p>
          <w:p w:rsidR="00741BCA" w:rsidRPr="00594446" w:rsidRDefault="00741BCA" w:rsidP="00741BCA">
            <w:pPr>
              <w:pStyle w:val="Listenabsatz"/>
              <w:rPr>
                <w:rFonts w:ascii="Arial" w:hAnsi="Arial" w:cs="Arial"/>
                <w:b/>
                <w:sz w:val="12"/>
                <w:szCs w:val="12"/>
              </w:rPr>
            </w:pP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und zur Anwendung der Anlage VI.1 (AVB)</w:t>
            </w:r>
          </w:p>
        </w:tc>
      </w:tr>
      <w:tr w:rsidR="00C9552B" w:rsidRPr="00594446" w:rsidTr="004D5521">
        <w:trPr>
          <w:cantSplit/>
        </w:trPr>
        <w:tc>
          <w:tcPr>
            <w:tcW w:w="1809" w:type="dxa"/>
            <w:shd w:val="clear" w:color="auto" w:fill="auto"/>
          </w:tcPr>
          <w:p w:rsidR="00C9552B" w:rsidRPr="00594446" w:rsidRDefault="00C9552B" w:rsidP="00741BCA">
            <w:pPr>
              <w:spacing w:before="80" w:line="276" w:lineRule="auto"/>
              <w:rPr>
                <w:rFonts w:ascii="Arial" w:hAnsi="Arial" w:cs="Arial"/>
                <w:sz w:val="20"/>
                <w:szCs w:val="20"/>
              </w:rPr>
            </w:pPr>
          </w:p>
        </w:tc>
        <w:tc>
          <w:tcPr>
            <w:tcW w:w="7618" w:type="dxa"/>
            <w:gridSpan w:val="3"/>
            <w:shd w:val="clear" w:color="auto" w:fill="auto"/>
          </w:tcPr>
          <w:p w:rsidR="00C9552B" w:rsidRPr="00594446" w:rsidRDefault="00C9552B" w:rsidP="00E81C91">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Vorbemerkungen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Die Vergabe freiberuflicher Leistungen hat nach Abschnitt K12 RBBau </w:t>
            </w:r>
            <w:r w:rsidR="003235B4" w:rsidRPr="00594446">
              <w:rPr>
                <w:rFonts w:ascii="Arial" w:hAnsi="Arial" w:cs="Arial"/>
                <w:sz w:val="20"/>
                <w:szCs w:val="20"/>
              </w:rPr>
              <w:t>und</w:t>
            </w:r>
            <w:r w:rsidRPr="00594446">
              <w:rPr>
                <w:rFonts w:ascii="Arial" w:hAnsi="Arial" w:cs="Arial"/>
                <w:sz w:val="20"/>
                <w:szCs w:val="20"/>
              </w:rPr>
              <w:t xml:space="preserve"> </w:t>
            </w:r>
            <w:r w:rsidR="00BD2578" w:rsidRPr="00594446">
              <w:rPr>
                <w:rFonts w:ascii="Arial" w:hAnsi="Arial" w:cs="Arial"/>
                <w:sz w:val="20"/>
                <w:szCs w:val="20"/>
              </w:rPr>
              <w:t xml:space="preserve">nach </w:t>
            </w:r>
            <w:r w:rsidRPr="00594446">
              <w:rPr>
                <w:rFonts w:ascii="Arial" w:hAnsi="Arial" w:cs="Arial"/>
                <w:sz w:val="20"/>
                <w:szCs w:val="20"/>
              </w:rPr>
              <w:t>den Vorgaben des VHF Bayern zu erfolgen.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Soweit im Vertrag und in den Anlagen Festlegungen zu treffen sind, sind in den dazu vorgesehenen Feldern Ankreuzungen vorzunehmen und bei </w:t>
            </w:r>
            <w:r w:rsidR="00BD2578" w:rsidRPr="00594446">
              <w:rPr>
                <w:rFonts w:ascii="Arial" w:hAnsi="Arial" w:cs="Arial"/>
                <w:sz w:val="20"/>
                <w:szCs w:val="20"/>
              </w:rPr>
              <w:t xml:space="preserve">Leerfeldern bzw. </w:t>
            </w:r>
            <w:r w:rsidRPr="00594446">
              <w:rPr>
                <w:rFonts w:ascii="Arial" w:hAnsi="Arial" w:cs="Arial"/>
                <w:sz w:val="20"/>
                <w:szCs w:val="20"/>
              </w:rPr>
              <w:t xml:space="preserve">Leerzeilen entsprechende Eintragungen zu machen. </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Anwendungsbereich</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Das Vertragsmuster ist für Ingenieurbauwerke i.S.v. § 41 HOAI 2013 anzuwenden (vgl. auch Abschnitt F 2.2.3 RBBau und Anlage 12.2 HOAI). In der Objektliste der HOAI nicht aufgeführte Objekte sind sinngemäß einzuordnen.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Abgrenzung zu anderen Vertragsmustern ist mit Schnittstellen zu definieren. Werden z.</w:t>
            </w:r>
            <w:r w:rsidR="005402B2" w:rsidRPr="00594446">
              <w:rPr>
                <w:rFonts w:ascii="Arial" w:hAnsi="Arial" w:cs="Arial"/>
                <w:sz w:val="20"/>
                <w:szCs w:val="20"/>
              </w:rPr>
              <w:t> </w:t>
            </w:r>
            <w:r w:rsidRPr="00594446">
              <w:rPr>
                <w:rFonts w:ascii="Arial" w:hAnsi="Arial" w:cs="Arial"/>
                <w:sz w:val="20"/>
                <w:szCs w:val="20"/>
              </w:rPr>
              <w:t>B. Leistungen der Tragwerksplanung erforderlich, so ist ein Vertrag nach dem Vertragsmuster Tragwerksplanung abzuschließen. Ebenso ist auf die Abgrenzung zwischen Leistungen der Technischen Ausrüstung und für Ingenieurbauwerke zu achten. Teile von Ingenieurbauwerken, z.</w:t>
            </w:r>
            <w:r w:rsidR="005402B2" w:rsidRPr="00594446">
              <w:rPr>
                <w:rFonts w:ascii="Arial" w:hAnsi="Arial" w:cs="Arial"/>
                <w:sz w:val="20"/>
                <w:szCs w:val="20"/>
              </w:rPr>
              <w:t> </w:t>
            </w:r>
            <w:r w:rsidRPr="00594446">
              <w:rPr>
                <w:rFonts w:ascii="Arial" w:hAnsi="Arial" w:cs="Arial"/>
                <w:sz w:val="20"/>
                <w:szCs w:val="20"/>
              </w:rPr>
              <w:t>B. Leitungsnetze der Wasser- oder Fernwärmeversorgung, können bis ins Gebäude hineinreichen, ohne dadurch zur Technischen Ausrüstung nach § 53 HOAI zu gehören. Beispiele für praktikable Planungsgrenzen können Revisions-, Mess-, Absperr- und Übergabeeinrichtungen sein.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Schornsteine (Beton/Stahl/Mauerwerk) sind Ingenieurbauwerke gemäß der Objektliste Ingenieurbauwerke (Anlage 12.2, Gruppe 7), wenn sie freistehend sind und über ein eigenes Fundament verfügen. Die Leistungen werden nach Abschnitt 3 der HOAI vergütet.</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Vertragsabschluss</w:t>
            </w:r>
          </w:p>
          <w:p w:rsidR="00741BCA" w:rsidRPr="00594446" w:rsidRDefault="00741BCA" w:rsidP="00690A39">
            <w:pPr>
              <w:spacing w:before="80" w:line="276" w:lineRule="auto"/>
              <w:jc w:val="both"/>
              <w:rPr>
                <w:rFonts w:ascii="Arial" w:hAnsi="Arial" w:cs="Arial"/>
                <w:b/>
                <w:sz w:val="20"/>
                <w:szCs w:val="20"/>
              </w:rPr>
            </w:pPr>
            <w:r w:rsidRPr="00594446">
              <w:rPr>
                <w:rFonts w:ascii="Arial" w:hAnsi="Arial" w:cs="Arial"/>
                <w:sz w:val="20"/>
                <w:szCs w:val="20"/>
              </w:rPr>
              <w:t>Allgemein darf eine Kostenverpflichtung für Planungsleistungen nur insoweit eingegangen werden, wie dies zur Aufstellung der Entwurfsunterlage-Bau (EW-Bau)</w:t>
            </w:r>
            <w:r w:rsidR="003951E5" w:rsidRPr="00594446">
              <w:rPr>
                <w:rFonts w:ascii="Arial" w:hAnsi="Arial" w:cs="Arial"/>
                <w:sz w:val="20"/>
                <w:szCs w:val="20"/>
              </w:rPr>
              <w:t xml:space="preserve"> nach Abschnitt </w:t>
            </w:r>
            <w:r w:rsidR="00E40C3F" w:rsidRPr="00594446">
              <w:rPr>
                <w:rFonts w:ascii="Arial" w:hAnsi="Arial" w:cs="Arial"/>
                <w:sz w:val="20"/>
                <w:szCs w:val="20"/>
              </w:rPr>
              <w:t>E2/</w:t>
            </w:r>
            <w:r w:rsidR="003951E5" w:rsidRPr="00594446">
              <w:rPr>
                <w:rFonts w:ascii="Arial" w:hAnsi="Arial" w:cs="Arial"/>
                <w:sz w:val="20"/>
                <w:szCs w:val="20"/>
              </w:rPr>
              <w:t>F</w:t>
            </w:r>
            <w:r w:rsidR="00E40C3F" w:rsidRPr="00594446">
              <w:rPr>
                <w:rFonts w:ascii="Arial" w:hAnsi="Arial" w:cs="Arial"/>
                <w:sz w:val="20"/>
                <w:szCs w:val="20"/>
              </w:rPr>
              <w:t xml:space="preserve">2 </w:t>
            </w:r>
            <w:r w:rsidR="003951E5" w:rsidRPr="00594446">
              <w:rPr>
                <w:rFonts w:ascii="Arial" w:hAnsi="Arial" w:cs="Arial"/>
                <w:sz w:val="20"/>
                <w:szCs w:val="20"/>
              </w:rPr>
              <w:t>RBBau</w:t>
            </w:r>
            <w:r w:rsidRPr="00594446">
              <w:rPr>
                <w:rFonts w:ascii="Arial" w:hAnsi="Arial" w:cs="Arial"/>
                <w:sz w:val="20"/>
                <w:szCs w:val="20"/>
              </w:rPr>
              <w:t xml:space="preserve"> / Kostenvoranmeldung-Bau (KVM-Bau)</w:t>
            </w:r>
            <w:r w:rsidRPr="00594446">
              <w:rPr>
                <w:rStyle w:val="Funotenzeichen"/>
                <w:rFonts w:ascii="Arial" w:hAnsi="Arial" w:cs="Arial"/>
                <w:sz w:val="20"/>
                <w:szCs w:val="20"/>
              </w:rPr>
              <w:footnoteReference w:id="1"/>
            </w:r>
            <w:r w:rsidRPr="00594446">
              <w:rPr>
                <w:rFonts w:ascii="Arial" w:hAnsi="Arial" w:cs="Arial"/>
                <w:sz w:val="20"/>
                <w:szCs w:val="20"/>
              </w:rPr>
              <w:t>, Haushaltsunterlage-Bau (HU-Bau)</w:t>
            </w:r>
            <w:r w:rsidR="004C1D9D">
              <w:rPr>
                <w:rFonts w:ascii="Arial" w:hAnsi="Arial" w:cs="Arial"/>
                <w:sz w:val="20"/>
                <w:szCs w:val="20"/>
                <w:vertAlign w:val="superscript"/>
              </w:rPr>
              <w:t>1</w:t>
            </w:r>
            <w:r w:rsidRPr="00594446">
              <w:rPr>
                <w:rFonts w:ascii="Arial" w:hAnsi="Arial" w:cs="Arial"/>
                <w:sz w:val="20"/>
                <w:szCs w:val="20"/>
              </w:rPr>
              <w:t xml:space="preserve"> nach ABG 1975/RiABG</w:t>
            </w:r>
            <w:r w:rsidR="00690A39" w:rsidRPr="00690A39">
              <w:rPr>
                <w:rFonts w:ascii="Arial" w:hAnsi="Arial" w:cs="Arial"/>
                <w:sz w:val="20"/>
                <w:szCs w:val="20"/>
                <w:vertAlign w:val="superscript"/>
              </w:rPr>
              <w:t>1</w:t>
            </w:r>
            <w:r w:rsidR="00690A39">
              <w:rPr>
                <w:rFonts w:ascii="Arial" w:hAnsi="Arial" w:cs="Arial"/>
                <w:sz w:val="20"/>
                <w:szCs w:val="20"/>
              </w:rPr>
              <w:t xml:space="preserve"> </w:t>
            </w:r>
            <w:r w:rsidRPr="00594446">
              <w:rPr>
                <w:rFonts w:ascii="Arial" w:hAnsi="Arial" w:cs="Arial"/>
                <w:sz w:val="20"/>
                <w:szCs w:val="20"/>
              </w:rPr>
              <w:t xml:space="preserve">notwendig ist. Wenn dazu ein freiberuflich tätiger Ingenieur eingeschaltet werden soll, ist der Vertrag </w:t>
            </w:r>
            <w:r w:rsidR="00827F89" w:rsidRPr="00594446">
              <w:rPr>
                <w:rFonts w:ascii="Arial" w:hAnsi="Arial" w:cs="Arial"/>
                <w:sz w:val="20"/>
                <w:szCs w:val="20"/>
              </w:rPr>
              <w:t xml:space="preserve">Objektplanung – </w:t>
            </w:r>
            <w:r w:rsidRPr="00594446">
              <w:rPr>
                <w:rFonts w:ascii="Arial" w:hAnsi="Arial" w:cs="Arial"/>
                <w:sz w:val="20"/>
                <w:szCs w:val="20"/>
              </w:rPr>
              <w:t>Ingenieurbauwerke zu verwenden.</w:t>
            </w:r>
          </w:p>
        </w:tc>
      </w:tr>
      <w:tr w:rsidR="00741BCA" w:rsidRPr="00594446" w:rsidTr="004D5521">
        <w:trPr>
          <w:cantSplit/>
          <w:trHeight w:val="2386"/>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Dem freiberuflich Tätigen sind mit dem Vertragsentwurf eine Ausfertigung der Allgemeinen Vertragsbestimmungen (AVB), die Anlage zu § 6 </w:t>
            </w:r>
            <w:r w:rsidR="00510FB6" w:rsidRPr="00594446">
              <w:rPr>
                <w:rFonts w:ascii="Arial" w:hAnsi="Arial" w:cs="Arial"/>
                <w:sz w:val="20"/>
                <w:szCs w:val="20"/>
              </w:rPr>
              <w:t>(S</w:t>
            </w:r>
            <w:r w:rsidRPr="00594446">
              <w:rPr>
                <w:rFonts w:ascii="Arial" w:hAnsi="Arial" w:cs="Arial"/>
                <w:sz w:val="20"/>
                <w:szCs w:val="20"/>
              </w:rPr>
              <w:t>pezifische Leistungspflichten zum Vertrag Objektplanung – Ingenieurbauwerke</w:t>
            </w:r>
            <w:r w:rsidR="00510FB6" w:rsidRPr="00594446">
              <w:rPr>
                <w:rFonts w:ascii="Arial" w:hAnsi="Arial" w:cs="Arial"/>
                <w:sz w:val="20"/>
                <w:szCs w:val="20"/>
              </w:rPr>
              <w:t>)</w:t>
            </w:r>
            <w:r w:rsidRPr="00594446">
              <w:rPr>
                <w:rFonts w:ascii="Arial" w:hAnsi="Arial" w:cs="Arial"/>
                <w:sz w:val="20"/>
                <w:szCs w:val="20"/>
              </w:rPr>
              <w:t xml:space="preserve">, die Anlage zu </w:t>
            </w:r>
            <w:r w:rsidR="00510FB6" w:rsidRPr="00594446">
              <w:rPr>
                <w:rFonts w:ascii="Arial" w:hAnsi="Arial" w:cs="Arial"/>
                <w:sz w:val="20"/>
                <w:szCs w:val="20"/>
              </w:rPr>
              <w:t>§§ 8, 10 und 11 (Honorarangebot für</w:t>
            </w:r>
            <w:r w:rsidRPr="00594446">
              <w:rPr>
                <w:rFonts w:ascii="Arial" w:hAnsi="Arial" w:cs="Arial"/>
                <w:sz w:val="20"/>
                <w:szCs w:val="20"/>
              </w:rPr>
              <w:t xml:space="preserve"> Objektplanung </w:t>
            </w:r>
            <w:r w:rsidR="00510FB6" w:rsidRPr="00594446">
              <w:rPr>
                <w:rFonts w:ascii="Arial" w:hAnsi="Arial" w:cs="Arial"/>
                <w:sz w:val="20"/>
                <w:szCs w:val="20"/>
              </w:rPr>
              <w:t>–</w:t>
            </w:r>
            <w:r w:rsidRPr="00594446">
              <w:rPr>
                <w:rFonts w:ascii="Arial" w:hAnsi="Arial" w:cs="Arial"/>
                <w:sz w:val="20"/>
                <w:szCs w:val="20"/>
              </w:rPr>
              <w:t xml:space="preserve"> Ingenieurbauwerke</w:t>
            </w:r>
            <w:r w:rsidR="00510FB6" w:rsidRPr="00594446">
              <w:rPr>
                <w:rFonts w:ascii="Arial" w:hAnsi="Arial" w:cs="Arial"/>
                <w:sz w:val="20"/>
                <w:szCs w:val="20"/>
              </w:rPr>
              <w:t xml:space="preserve">), </w:t>
            </w:r>
            <w:r w:rsidRPr="00594446">
              <w:rPr>
                <w:rFonts w:ascii="Arial" w:hAnsi="Arial" w:cs="Arial"/>
                <w:sz w:val="20"/>
                <w:szCs w:val="20"/>
              </w:rPr>
              <w:t xml:space="preserve">die Anlage VI.3 </w:t>
            </w:r>
            <w:r w:rsidR="00510FB6" w:rsidRPr="00594446">
              <w:rPr>
                <w:rFonts w:ascii="Arial" w:hAnsi="Arial" w:cs="Arial"/>
                <w:sz w:val="20"/>
                <w:szCs w:val="20"/>
              </w:rPr>
              <w:t xml:space="preserve">VHF </w:t>
            </w:r>
            <w:r w:rsidRPr="00594446">
              <w:rPr>
                <w:rFonts w:ascii="Arial" w:hAnsi="Arial" w:cs="Arial"/>
                <w:sz w:val="20"/>
                <w:szCs w:val="20"/>
              </w:rPr>
              <w:t>(</w:t>
            </w:r>
            <w:r w:rsidR="00510FB6" w:rsidRPr="00594446">
              <w:rPr>
                <w:rFonts w:ascii="Arial" w:hAnsi="Arial" w:cs="Arial"/>
                <w:sz w:val="20"/>
                <w:szCs w:val="20"/>
              </w:rPr>
              <w:t xml:space="preserve">ZVB </w:t>
            </w:r>
            <w:r w:rsidRPr="00594446">
              <w:rPr>
                <w:rFonts w:ascii="Arial" w:hAnsi="Arial" w:cs="Arial"/>
                <w:sz w:val="20"/>
                <w:szCs w:val="20"/>
              </w:rPr>
              <w:t>Rechnungsprüfung, Feststellungsbescheinigungen), die baufachlich genehmigte und haushaltsmäßig anerkannte ES-Bau/der Auftrag ABG 1975/ABG3</w:t>
            </w:r>
            <w:r w:rsidR="00C87596" w:rsidRPr="00594446">
              <w:rPr>
                <w:rFonts w:ascii="Arial" w:hAnsi="Arial" w:cs="Arial"/>
                <w:sz w:val="20"/>
                <w:szCs w:val="20"/>
                <w:vertAlign w:val="superscript"/>
              </w:rPr>
              <w:t>1</w:t>
            </w:r>
            <w:r w:rsidRPr="00594446">
              <w:rPr>
                <w:rFonts w:ascii="Arial" w:hAnsi="Arial" w:cs="Arial"/>
                <w:sz w:val="20"/>
                <w:szCs w:val="20"/>
              </w:rPr>
              <w:t xml:space="preserve"> und weitere für die Vertragserfüllung notwendige Unterlagen zu übergeben. </w:t>
            </w:r>
          </w:p>
          <w:p w:rsidR="00F76719" w:rsidRPr="00594446" w:rsidRDefault="00F76719" w:rsidP="00F76719">
            <w:pPr>
              <w:spacing w:before="80" w:line="276" w:lineRule="auto"/>
              <w:jc w:val="both"/>
              <w:rPr>
                <w:rFonts w:ascii="Arial" w:hAnsi="Arial" w:cs="Arial"/>
                <w:sz w:val="20"/>
                <w:szCs w:val="20"/>
              </w:rPr>
            </w:pPr>
            <w:r w:rsidRPr="00594446">
              <w:rPr>
                <w:rFonts w:ascii="Arial" w:hAnsi="Arial" w:cs="Arial"/>
                <w:sz w:val="20"/>
                <w:szCs w:val="20"/>
              </w:rPr>
              <w:t xml:space="preserve">Soweit der Auftragnehmer verpflichtet werden soll, eine Verpflichtungserklärung abzugeben, ist das Formblatt VI.11 VHF (Verpflichtungserklärung) dem Vertrag schon im Entwurf beizufügen und als Anlage zu § 14 Nummer 14.1 zum Vertrag in § 2 Nummer 2.1 anzukreuzen. </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Die AVB dürfen nicht geändert werden.</w:t>
            </w:r>
          </w:p>
        </w:tc>
      </w:tr>
      <w:tr w:rsidR="00741BCA" w:rsidRPr="00594446" w:rsidTr="004D5521">
        <w:trPr>
          <w:cantSplit/>
          <w:trHeight w:val="309"/>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2054C2" w:rsidRPr="00594446" w:rsidRDefault="002054C2" w:rsidP="002054C2">
            <w:pPr>
              <w:spacing w:before="80" w:line="276" w:lineRule="auto"/>
              <w:jc w:val="both"/>
              <w:rPr>
                <w:rFonts w:ascii="Arial" w:hAnsi="Arial" w:cs="Arial"/>
                <w:b/>
                <w:sz w:val="20"/>
                <w:szCs w:val="20"/>
              </w:rPr>
            </w:pPr>
            <w:r w:rsidRPr="00594446">
              <w:rPr>
                <w:rFonts w:ascii="Arial" w:hAnsi="Arial" w:cs="Arial"/>
                <w:b/>
                <w:sz w:val="20"/>
                <w:szCs w:val="20"/>
              </w:rPr>
              <w:t>Angaben zu den Vertragsparteien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Angaben zu den Vertragsparteien sind v</w:t>
            </w:r>
            <w:r w:rsidR="002054C2" w:rsidRPr="00594446">
              <w:rPr>
                <w:rFonts w:ascii="Arial" w:hAnsi="Arial" w:cs="Arial"/>
                <w:sz w:val="20"/>
                <w:szCs w:val="20"/>
              </w:rPr>
              <w:t>ollständig</w:t>
            </w:r>
            <w:r w:rsidR="00031DA9" w:rsidRPr="00594446">
              <w:rPr>
                <w:rFonts w:ascii="Arial" w:hAnsi="Arial" w:cs="Arial"/>
                <w:sz w:val="20"/>
                <w:szCs w:val="20"/>
              </w:rPr>
              <w:t xml:space="preserve">, z. B. im Auftragsschreiben, </w:t>
            </w:r>
            <w:r w:rsidRPr="00594446">
              <w:rPr>
                <w:rFonts w:ascii="Arial" w:hAnsi="Arial" w:cs="Arial"/>
                <w:sz w:val="20"/>
                <w:szCs w:val="20"/>
              </w:rPr>
              <w:t>einzutragen.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Auf </w:t>
            </w:r>
            <w:proofErr w:type="spellStart"/>
            <w:r w:rsidRPr="00594446">
              <w:rPr>
                <w:rFonts w:ascii="Arial" w:hAnsi="Arial" w:cs="Arial"/>
                <w:sz w:val="20"/>
                <w:szCs w:val="20"/>
              </w:rPr>
              <w:t>Auftraggeberseite</w:t>
            </w:r>
            <w:proofErr w:type="spellEnd"/>
            <w:r w:rsidRPr="00594446">
              <w:rPr>
                <w:rFonts w:ascii="Arial" w:hAnsi="Arial" w:cs="Arial"/>
                <w:sz w:val="20"/>
                <w:szCs w:val="20"/>
              </w:rPr>
              <w:t xml:space="preserve"> kommen in Betracht: </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24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378"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Bundesrepublik Deutschland, vertreten durch das Bundesministerium des Innern, für Bau und Heimat (BMI), das Bundesministerium für Umwelt, Naturschutz und nukleare Sicherheit (BMU), oder das Bundesministerium der Verteidigung (</w:t>
            </w:r>
            <w:proofErr w:type="spellStart"/>
            <w:r w:rsidRPr="00594446">
              <w:rPr>
                <w:rFonts w:ascii="Arial" w:hAnsi="Arial" w:cs="Arial"/>
                <w:sz w:val="20"/>
                <w:szCs w:val="20"/>
              </w:rPr>
              <w:t>BMVg</w:t>
            </w:r>
            <w:proofErr w:type="spellEnd"/>
            <w:r w:rsidRPr="00594446">
              <w:rPr>
                <w:rFonts w:ascii="Arial" w:hAnsi="Arial" w:cs="Arial"/>
                <w:sz w:val="20"/>
                <w:szCs w:val="20"/>
              </w:rPr>
              <w:t>),</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24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378"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Bundesanstalt für Immobilienaufgaben,</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24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378" w:type="dxa"/>
            <w:gridSpan w:val="2"/>
            <w:shd w:val="clear" w:color="auto" w:fill="auto"/>
          </w:tcPr>
          <w:p w:rsidR="00741BCA" w:rsidRPr="00594446" w:rsidRDefault="00741BCA">
            <w:pPr>
              <w:spacing w:before="40" w:line="276" w:lineRule="auto"/>
              <w:jc w:val="both"/>
              <w:rPr>
                <w:rFonts w:ascii="Arial" w:hAnsi="Arial" w:cs="Arial"/>
                <w:sz w:val="20"/>
                <w:szCs w:val="20"/>
              </w:rPr>
            </w:pPr>
            <w:r w:rsidRPr="00594446">
              <w:rPr>
                <w:rFonts w:ascii="Arial" w:hAnsi="Arial" w:cs="Arial"/>
                <w:sz w:val="20"/>
                <w:szCs w:val="20"/>
              </w:rPr>
              <w:t>sonstige Dritte (siehe Abschnitt L3 RBBau).</w:t>
            </w:r>
          </w:p>
        </w:tc>
      </w:tr>
      <w:tr w:rsidR="00741BCA" w:rsidRPr="00594446" w:rsidTr="004D5521">
        <w:trPr>
          <w:cantSplit/>
          <w:trHeight w:val="89"/>
        </w:trPr>
        <w:tc>
          <w:tcPr>
            <w:tcW w:w="1809" w:type="dxa"/>
            <w:shd w:val="clear" w:color="auto" w:fill="auto"/>
          </w:tcPr>
          <w:p w:rsidR="00741BCA" w:rsidRPr="00594446" w:rsidRDefault="00741BCA" w:rsidP="00741BCA">
            <w:pPr>
              <w:spacing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Die Vertretungsfolge „Fachaufsicht führende Ebene“ und „Baudurchführende Ebene“ ist darzustellen. Eine Vertretung der </w:t>
            </w:r>
            <w:proofErr w:type="spellStart"/>
            <w:r w:rsidRPr="00594446">
              <w:rPr>
                <w:rFonts w:ascii="Arial" w:hAnsi="Arial" w:cs="Arial"/>
                <w:sz w:val="20"/>
                <w:szCs w:val="20"/>
              </w:rPr>
              <w:t>Auftragnehmerseite</w:t>
            </w:r>
            <w:proofErr w:type="spellEnd"/>
            <w:r w:rsidRPr="00594446">
              <w:rPr>
                <w:rFonts w:ascii="Arial" w:hAnsi="Arial" w:cs="Arial"/>
                <w:sz w:val="20"/>
                <w:szCs w:val="20"/>
              </w:rPr>
              <w:t xml:space="preserve"> ist auf dem Deckblatt immer anzugeben:</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24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378"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bei Arbeitsgemeinschaften,</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24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 xml:space="preserve">- </w:t>
            </w:r>
          </w:p>
        </w:tc>
        <w:tc>
          <w:tcPr>
            <w:tcW w:w="7378"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wenn der Auftragnehmer einen rechtsgeschäftlich Bevollmächtigten bestimmt.</w:t>
            </w:r>
          </w:p>
        </w:tc>
      </w:tr>
      <w:tr w:rsidR="00741BCA" w:rsidRPr="00594446" w:rsidTr="004D552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7618" w:type="dxa"/>
            <w:gridSpan w:val="3"/>
            <w:shd w:val="clear" w:color="auto" w:fill="auto"/>
          </w:tcPr>
          <w:p w:rsidR="00741BCA" w:rsidRPr="00594446" w:rsidRDefault="00741BCA" w:rsidP="00741BCA">
            <w:pPr>
              <w:spacing w:before="40"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color w:val="000000"/>
                <w:sz w:val="20"/>
                <w:szCs w:val="20"/>
              </w:rPr>
            </w:pPr>
            <w:r w:rsidRPr="00594446">
              <w:rPr>
                <w:rFonts w:ascii="Arial" w:hAnsi="Arial" w:cs="Arial"/>
                <w:b/>
                <w:color w:val="000000"/>
                <w:sz w:val="20"/>
                <w:szCs w:val="20"/>
              </w:rPr>
              <w:t>Zu § 1</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b/>
                <w:color w:val="000000"/>
                <w:sz w:val="20"/>
                <w:szCs w:val="20"/>
              </w:rPr>
              <w:t>Gegenstand des Vertrages</w:t>
            </w:r>
          </w:p>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 xml:space="preserve">Bezieht sich der Vertrag auf eine Baumaßnahme mit mehreren Objekten, sind diese in der Anlage zu § 1 Nummer 1.1 aufzuführen. </w:t>
            </w:r>
          </w:p>
          <w:p w:rsidR="00741BCA" w:rsidRPr="00594446" w:rsidRDefault="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Sofern es sich um eine Baumaßnahme im Auftrag des Bundes für die Gaststreitkräfte handelt, ist dies unter § 1 Nummer 1.4 anzukreuzen.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b/>
                <w:color w:val="000000"/>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color w:val="000000"/>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t>Zu § 2</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2.2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Bestandteile und Grundlagen des Vertrages</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Es ist im Einzelfall zu prüfen, auf welche Vorschriften, Regelwerke oder Erlasse über § 1 AVB hinaus ausdrücklich verwiesen werden soll.</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Soweit der Brandschutzleitfaden ausgewählt wird, ist die aktuelle durch BMUB eingeführte Version zu ergänzen. Im Übrigen sind bei allen zu beachtenden Regelwerken die jeweils gültigen Fassungen anzugeben.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2.3.1</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Datum ist das Aufstelldatum der ES-Bau/KVM-Bau</w:t>
            </w:r>
            <w:r w:rsidR="003144A0" w:rsidRPr="00594446">
              <w:rPr>
                <w:rFonts w:ascii="Arial" w:hAnsi="Arial" w:cs="Arial"/>
                <w:sz w:val="20"/>
                <w:szCs w:val="20"/>
                <w:vertAlign w:val="superscript"/>
              </w:rPr>
              <w:t>1</w:t>
            </w:r>
            <w:r w:rsidRPr="00594446">
              <w:rPr>
                <w:rFonts w:ascii="Arial" w:hAnsi="Arial" w:cs="Arial"/>
                <w:sz w:val="20"/>
                <w:szCs w:val="20"/>
              </w:rPr>
              <w:t>.</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Baumaßnahmen für die Gaststreitkräfte ist im Vertrag statt auf die ES-Bau auf die KVM-Bau Bezug zu nehmen.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r w:rsidRPr="00594446">
              <w:rPr>
                <w:rFonts w:ascii="Arial" w:hAnsi="Arial" w:cs="Arial"/>
                <w:b/>
                <w:sz w:val="20"/>
                <w:szCs w:val="20"/>
              </w:rPr>
              <w:t>Zu § 3</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Übergabe von Vertragsunterlagen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r w:rsidRPr="00594446">
              <w:rPr>
                <w:rFonts w:ascii="Arial" w:hAnsi="Arial" w:cs="Arial"/>
                <w:b/>
                <w:sz w:val="20"/>
                <w:szCs w:val="20"/>
              </w:rPr>
              <w:t>Zu § 4</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Leistungspflichten des Auftragnehmers, stufenweise Beauftragung</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Im Vertrag bzw. in der Anlage zu § 6 </w:t>
            </w:r>
            <w:r w:rsidR="0023149F" w:rsidRPr="00594446">
              <w:rPr>
                <w:rFonts w:ascii="Arial" w:hAnsi="Arial" w:cs="Arial"/>
                <w:sz w:val="20"/>
                <w:szCs w:val="20"/>
              </w:rPr>
              <w:t>(S</w:t>
            </w:r>
            <w:r w:rsidRPr="00594446">
              <w:rPr>
                <w:rFonts w:ascii="Arial" w:hAnsi="Arial" w:cs="Arial"/>
                <w:sz w:val="20"/>
                <w:szCs w:val="20"/>
              </w:rPr>
              <w:t xml:space="preserve">pezifische Leistungspflichten zum Vertrag Objektplanung </w:t>
            </w:r>
            <w:r w:rsidR="0023149F" w:rsidRPr="00594446">
              <w:rPr>
                <w:rFonts w:ascii="Arial" w:hAnsi="Arial" w:cs="Arial"/>
                <w:sz w:val="20"/>
                <w:szCs w:val="20"/>
              </w:rPr>
              <w:t>–</w:t>
            </w:r>
            <w:r w:rsidRPr="00594446">
              <w:rPr>
                <w:rFonts w:ascii="Arial" w:hAnsi="Arial" w:cs="Arial"/>
                <w:sz w:val="20"/>
                <w:szCs w:val="20"/>
              </w:rPr>
              <w:t xml:space="preserve"> Ingenieurbauwerke</w:t>
            </w:r>
            <w:r w:rsidR="0023149F" w:rsidRPr="00594446">
              <w:rPr>
                <w:rFonts w:ascii="Arial" w:hAnsi="Arial" w:cs="Arial"/>
                <w:sz w:val="20"/>
                <w:szCs w:val="20"/>
              </w:rPr>
              <w:t>)</w:t>
            </w:r>
            <w:r w:rsidRPr="00594446">
              <w:rPr>
                <w:rFonts w:ascii="Arial" w:hAnsi="Arial" w:cs="Arial"/>
                <w:sz w:val="20"/>
                <w:szCs w:val="20"/>
              </w:rPr>
              <w:t xml:space="preserve"> sind die Leistungen zu kennzeichnen/aufzuführen, deren Übertragung an den Auftragnehmer vorgesehen ist.</w:t>
            </w:r>
          </w:p>
        </w:tc>
      </w:tr>
      <w:tr w:rsidR="00B16090" w:rsidRPr="00594446" w:rsidTr="004D5521">
        <w:trPr>
          <w:cantSplit/>
        </w:trPr>
        <w:tc>
          <w:tcPr>
            <w:tcW w:w="1809" w:type="dxa"/>
            <w:shd w:val="clear" w:color="auto" w:fill="auto"/>
          </w:tcPr>
          <w:p w:rsidR="00B16090" w:rsidRPr="00594446" w:rsidRDefault="00B16090" w:rsidP="00741BCA">
            <w:pPr>
              <w:spacing w:before="80" w:line="276" w:lineRule="auto"/>
              <w:rPr>
                <w:rFonts w:ascii="Arial" w:hAnsi="Arial" w:cs="Arial"/>
                <w:b/>
                <w:sz w:val="20"/>
                <w:szCs w:val="20"/>
              </w:rPr>
            </w:pPr>
          </w:p>
        </w:tc>
        <w:tc>
          <w:tcPr>
            <w:tcW w:w="7618" w:type="dxa"/>
            <w:gridSpan w:val="3"/>
            <w:shd w:val="clear" w:color="auto" w:fill="auto"/>
          </w:tcPr>
          <w:p w:rsidR="00B16090" w:rsidRPr="00594446" w:rsidRDefault="00B16090" w:rsidP="00741BCA">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04"/>
              <w:rPr>
                <w:rFonts w:ascii="Arial" w:hAnsi="Arial" w:cs="Arial"/>
                <w:b/>
                <w:color w:val="000000"/>
                <w:sz w:val="20"/>
                <w:szCs w:val="20"/>
              </w:rPr>
            </w:pPr>
            <w:r w:rsidRPr="00594446">
              <w:rPr>
                <w:rFonts w:ascii="Arial" w:hAnsi="Arial" w:cs="Arial"/>
                <w:b/>
                <w:color w:val="000000"/>
                <w:sz w:val="20"/>
                <w:szCs w:val="20"/>
              </w:rPr>
              <w:t xml:space="preserve">Zu 4.2.1/ </w:t>
            </w:r>
          </w:p>
          <w:p w:rsidR="00741BCA" w:rsidRPr="00594446" w:rsidRDefault="00741BCA" w:rsidP="00741BCA">
            <w:pPr>
              <w:spacing w:line="276" w:lineRule="auto"/>
              <w:ind w:left="170" w:firstLine="550"/>
              <w:rPr>
                <w:rFonts w:ascii="Arial" w:hAnsi="Arial" w:cs="Arial"/>
                <w:b/>
                <w:color w:val="000000"/>
                <w:sz w:val="20"/>
                <w:szCs w:val="20"/>
              </w:rPr>
            </w:pPr>
            <w:r w:rsidRPr="00594446">
              <w:rPr>
                <w:rFonts w:ascii="Arial" w:hAnsi="Arial" w:cs="Arial"/>
                <w:b/>
                <w:color w:val="000000"/>
                <w:sz w:val="20"/>
                <w:szCs w:val="20"/>
              </w:rPr>
              <w:t>4.2.2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Stufenweise Beauftragung</w:t>
            </w:r>
          </w:p>
          <w:p w:rsidR="00031DA9"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Der Auftragnehmer soll zunächst nur mit den spezifischen Leistungspflichten nach § 6 in Verbindung mit § 5 des Vertrages und der Anlage zu § 6 beauftragt werden, die zur Erstellung der EW-Bau (§ 6 Nummer </w:t>
            </w:r>
            <w:proofErr w:type="gramStart"/>
            <w:r w:rsidRPr="00594446">
              <w:rPr>
                <w:rFonts w:ascii="Arial" w:hAnsi="Arial" w:cs="Arial"/>
                <w:sz w:val="20"/>
                <w:szCs w:val="20"/>
              </w:rPr>
              <w:t>6.1)/</w:t>
            </w:r>
            <w:proofErr w:type="gramEnd"/>
            <w:r w:rsidRPr="00594446">
              <w:rPr>
                <w:rFonts w:ascii="Arial" w:hAnsi="Arial" w:cs="Arial"/>
                <w:sz w:val="20"/>
                <w:szCs w:val="20"/>
              </w:rPr>
              <w:t>KVM-</w:t>
            </w:r>
            <w:r w:rsidR="00B16090" w:rsidRPr="00594446">
              <w:rPr>
                <w:rFonts w:ascii="Arial" w:hAnsi="Arial" w:cs="Arial"/>
                <w:sz w:val="20"/>
                <w:szCs w:val="20"/>
                <w:vertAlign w:val="superscript"/>
              </w:rPr>
              <w:t>1</w:t>
            </w:r>
            <w:r w:rsidRPr="00594446">
              <w:rPr>
                <w:rFonts w:ascii="Arial" w:hAnsi="Arial" w:cs="Arial"/>
                <w:sz w:val="20"/>
                <w:szCs w:val="20"/>
              </w:rPr>
              <w:t>/HU-Bau</w:t>
            </w:r>
            <w:r w:rsidR="00B16090" w:rsidRPr="00594446">
              <w:rPr>
                <w:rFonts w:ascii="Arial" w:hAnsi="Arial" w:cs="Arial"/>
                <w:sz w:val="20"/>
                <w:szCs w:val="20"/>
                <w:vertAlign w:val="superscript"/>
              </w:rPr>
              <w:t>1</w:t>
            </w:r>
            <w:r w:rsidRPr="00594446">
              <w:rPr>
                <w:rFonts w:ascii="Arial" w:hAnsi="Arial" w:cs="Arial"/>
                <w:sz w:val="20"/>
                <w:szCs w:val="20"/>
              </w:rPr>
              <w:t xml:space="preserve"> erforderlich sind; der Auftragnehmer hat hierzu auch die allgemeinen Leistungspflichten (§ 5) mit zu erfüllen. Soweit im Ausnahmefall Leistungen weiterer Leistungsstufen oder Teile davon mitbeauftragt werden sollen, ist dies in der Dokumentation besonders zu begründen. Die weiteren Leistungen werden – je nach Bedarf einzeln oder zusammengefasst – durch ein gesondertes Schreiben abgerufen, </w:t>
            </w:r>
            <w:r w:rsidR="00031DA9" w:rsidRPr="00594446">
              <w:rPr>
                <w:rFonts w:ascii="Arial" w:hAnsi="Arial" w:cs="Arial"/>
                <w:sz w:val="20"/>
                <w:szCs w:val="20"/>
              </w:rPr>
              <w:t>in dem auch das im Vertrag bereits festgelegte Honorar zu erwähnen ist sowie Termine und Fristen für die abzurufenden Leistungen festzulegen sind.</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ausgenommen </w:t>
            </w:r>
            <w:r w:rsidR="00023A06" w:rsidRPr="00594446">
              <w:rPr>
                <w:rFonts w:ascii="Arial" w:hAnsi="Arial" w:cs="Arial"/>
                <w:sz w:val="20"/>
                <w:szCs w:val="20"/>
              </w:rPr>
              <w:t>d</w:t>
            </w:r>
            <w:r w:rsidRPr="00594446">
              <w:rPr>
                <w:rFonts w:ascii="Arial" w:hAnsi="Arial" w:cs="Arial"/>
                <w:sz w:val="20"/>
                <w:szCs w:val="20"/>
              </w:rPr>
              <w:t>avon</w:t>
            </w:r>
            <w:r w:rsidR="00023A06" w:rsidRPr="00594446">
              <w:rPr>
                <w:rFonts w:ascii="Arial" w:hAnsi="Arial" w:cs="Arial"/>
                <w:sz w:val="20"/>
                <w:szCs w:val="20"/>
              </w:rPr>
              <w:t xml:space="preserve"> sind </w:t>
            </w:r>
            <w:r w:rsidRPr="00594446">
              <w:rPr>
                <w:rFonts w:ascii="Arial" w:hAnsi="Arial" w:cs="Arial"/>
                <w:sz w:val="20"/>
                <w:szCs w:val="20"/>
              </w:rPr>
              <w:t xml:space="preserve"> nur die Teilleistungen, die z.</w:t>
            </w:r>
            <w:r w:rsidR="00023A06" w:rsidRPr="00594446">
              <w:rPr>
                <w:rFonts w:ascii="Arial" w:hAnsi="Arial" w:cs="Arial"/>
                <w:sz w:val="20"/>
                <w:szCs w:val="20"/>
              </w:rPr>
              <w:t> </w:t>
            </w:r>
            <w:r w:rsidRPr="00594446">
              <w:rPr>
                <w:rFonts w:ascii="Arial" w:hAnsi="Arial" w:cs="Arial"/>
                <w:sz w:val="20"/>
                <w:szCs w:val="20"/>
              </w:rPr>
              <w:t>B. im Rahmen der Erstellung der ES-Bau/KVM-Bau</w:t>
            </w:r>
            <w:r w:rsidR="00023A06" w:rsidRPr="00594446">
              <w:rPr>
                <w:rFonts w:ascii="Arial" w:hAnsi="Arial" w:cs="Arial"/>
                <w:sz w:val="20"/>
                <w:szCs w:val="20"/>
                <w:vertAlign w:val="superscript"/>
              </w:rPr>
              <w:t xml:space="preserve">1 </w:t>
            </w:r>
            <w:r w:rsidRPr="00594446">
              <w:rPr>
                <w:rFonts w:ascii="Arial" w:hAnsi="Arial" w:cs="Arial"/>
                <w:sz w:val="20"/>
                <w:szCs w:val="20"/>
              </w:rPr>
              <w:t>vorbereitend aufgrund eines „ES-Bau-/KVM-Bau</w:t>
            </w:r>
            <w:r w:rsidR="00625634" w:rsidRPr="00594446">
              <w:rPr>
                <w:rFonts w:ascii="Arial" w:hAnsi="Arial" w:cs="Arial"/>
                <w:sz w:val="20"/>
                <w:szCs w:val="20"/>
                <w:vertAlign w:val="superscript"/>
              </w:rPr>
              <w:t>1</w:t>
            </w:r>
            <w:r w:rsidR="00023A06" w:rsidRPr="00594446">
              <w:rPr>
                <w:rFonts w:ascii="Arial" w:hAnsi="Arial" w:cs="Arial"/>
                <w:sz w:val="20"/>
                <w:szCs w:val="20"/>
              </w:rPr>
              <w:softHyphen/>
            </w:r>
            <w:r w:rsidR="00625634" w:rsidRPr="00594446">
              <w:rPr>
                <w:rFonts w:ascii="Arial" w:hAnsi="Arial" w:cs="Arial"/>
                <w:sz w:val="20"/>
                <w:szCs w:val="20"/>
              </w:rPr>
              <w:t xml:space="preserve"> </w:t>
            </w:r>
            <w:r w:rsidR="00023A06" w:rsidRPr="00594446">
              <w:rPr>
                <w:rFonts w:ascii="Arial" w:hAnsi="Arial" w:cs="Arial"/>
                <w:sz w:val="20"/>
                <w:szCs w:val="20"/>
              </w:rPr>
              <w:t>-</w:t>
            </w:r>
            <w:r w:rsidRPr="00594446">
              <w:rPr>
                <w:rFonts w:ascii="Arial" w:hAnsi="Arial" w:cs="Arial"/>
                <w:sz w:val="20"/>
                <w:szCs w:val="20"/>
              </w:rPr>
              <w:t>Vertrages“ erbracht worden sind.</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04"/>
              <w:rPr>
                <w:rFonts w:ascii="Arial" w:hAnsi="Arial" w:cs="Arial"/>
                <w:b/>
                <w:color w:val="000000"/>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t>Zu § 5</w:t>
            </w:r>
          </w:p>
          <w:p w:rsidR="00741BCA" w:rsidRPr="00594446" w:rsidRDefault="00741BCA" w:rsidP="00741BCA">
            <w:pPr>
              <w:spacing w:before="120" w:line="276" w:lineRule="auto"/>
              <w:ind w:firstLine="550"/>
              <w:rPr>
                <w:rFonts w:ascii="Arial" w:hAnsi="Arial" w:cs="Arial"/>
                <w:sz w:val="20"/>
                <w:szCs w:val="20"/>
              </w:rPr>
            </w:pPr>
            <w:r w:rsidRPr="00594446">
              <w:rPr>
                <w:rFonts w:ascii="Arial" w:hAnsi="Arial" w:cs="Arial"/>
                <w:b/>
                <w:sz w:val="20"/>
                <w:szCs w:val="20"/>
              </w:rPr>
              <w:t>Zu 5.1</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Allgemeine Leistungspflichten</w:t>
            </w:r>
          </w:p>
          <w:p w:rsidR="00741BCA" w:rsidRPr="00594446" w:rsidRDefault="00741BCA" w:rsidP="00741BCA">
            <w:pPr>
              <w:spacing w:before="80" w:line="276" w:lineRule="auto"/>
              <w:jc w:val="both"/>
              <w:rPr>
                <w:rFonts w:ascii="Arial" w:hAnsi="Arial" w:cs="Arial"/>
                <w:b/>
                <w:color w:val="000000"/>
                <w:sz w:val="20"/>
                <w:szCs w:val="20"/>
              </w:rPr>
            </w:pPr>
            <w:r w:rsidRPr="00594446">
              <w:rPr>
                <w:rFonts w:ascii="Arial" w:hAnsi="Arial" w:cs="Arial"/>
                <w:b/>
                <w:color w:val="000000"/>
                <w:sz w:val="20"/>
                <w:szCs w:val="20"/>
              </w:rPr>
              <w:t>Planungs- und Überwachungsziele</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 5 und 6 sowie der Anlage zu § 6 genau zu beschreiben.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lastRenderedPageBreak/>
              <w:t>Zu 5.3</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Kosten</w:t>
            </w:r>
          </w:p>
          <w:p w:rsidR="00741BCA" w:rsidRPr="00594446" w:rsidRDefault="00741BCA" w:rsidP="00741BCA">
            <w:pPr>
              <w:spacing w:before="80" w:line="276" w:lineRule="auto"/>
              <w:jc w:val="both"/>
              <w:rPr>
                <w:rFonts w:ascii="Arial" w:hAnsi="Arial" w:cs="Arial"/>
                <w:b/>
                <w:bCs/>
                <w:sz w:val="20"/>
                <w:szCs w:val="20"/>
              </w:rPr>
            </w:pPr>
            <w:r w:rsidRPr="00594446">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116F8E" w:rsidRPr="00594446">
              <w:rPr>
                <w:rFonts w:ascii="Arial" w:hAnsi="Arial" w:cs="Arial"/>
                <w:sz w:val="20"/>
                <w:szCs w:val="20"/>
              </w:rPr>
              <w:t> </w:t>
            </w:r>
            <w:r w:rsidRPr="00594446">
              <w:rPr>
                <w:rFonts w:ascii="Arial" w:hAnsi="Arial" w:cs="Arial"/>
                <w:sz w:val="20"/>
                <w:szCs w:val="20"/>
              </w:rPr>
              <w:t xml:space="preserve">B. KG 400 Technische Anlagen). Die Verantwortung der fachlich Beteiligten bleibt davon allerdings unberührt. </w:t>
            </w:r>
            <w:r w:rsidRPr="00594446">
              <w:rPr>
                <w:rFonts w:ascii="Arial" w:hAnsi="Arial" w:cs="Arial"/>
                <w:sz w:val="20"/>
                <w:szCs w:val="20"/>
              </w:rPr>
              <w:br/>
              <w:t>Es sind daher in § 5 Nummer 5.3 als Regelfall die Kosten der Kostengruppen 200 bis 600 zu Grunde gelegt.</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5.4</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5.4.1</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bCs/>
                <w:sz w:val="20"/>
                <w:szCs w:val="20"/>
              </w:rPr>
            </w:pPr>
            <w:r w:rsidRPr="00594446">
              <w:rPr>
                <w:rFonts w:ascii="Arial" w:hAnsi="Arial" w:cs="Arial"/>
                <w:b/>
                <w:bCs/>
                <w:sz w:val="20"/>
                <w:szCs w:val="20"/>
              </w:rPr>
              <w:t>Termine</w:t>
            </w:r>
          </w:p>
          <w:p w:rsidR="00741BCA" w:rsidRPr="00594446" w:rsidRDefault="00741BCA" w:rsidP="00741BCA">
            <w:pPr>
              <w:spacing w:before="80" w:line="276" w:lineRule="auto"/>
              <w:jc w:val="both"/>
              <w:rPr>
                <w:rFonts w:ascii="Arial" w:hAnsi="Arial" w:cs="Arial"/>
                <w:bCs/>
                <w:sz w:val="20"/>
                <w:szCs w:val="20"/>
              </w:rPr>
            </w:pPr>
            <w:r w:rsidRPr="00594446">
              <w:rPr>
                <w:rFonts w:ascii="Arial" w:hAnsi="Arial" w:cs="Arial"/>
                <w:bCs/>
                <w:sz w:val="20"/>
                <w:szCs w:val="20"/>
              </w:rPr>
              <w:t xml:space="preserve">Bei </w:t>
            </w:r>
            <w:r w:rsidRPr="00594446">
              <w:rPr>
                <w:rFonts w:ascii="Arial" w:hAnsi="Arial" w:cs="Arial"/>
                <w:bCs/>
                <w:color w:val="000000"/>
                <w:sz w:val="20"/>
                <w:szCs w:val="20"/>
              </w:rPr>
              <w:t>einer Baumaßnahme</w:t>
            </w:r>
            <w:r w:rsidRPr="00594446">
              <w:rPr>
                <w:rFonts w:ascii="Arial" w:hAnsi="Arial" w:cs="Arial"/>
                <w:bCs/>
                <w:sz w:val="20"/>
                <w:szCs w:val="20"/>
              </w:rPr>
              <w:t xml:space="preserve"> mit mehreren Objekten sind die Termine objektweise anzugeben.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color w:val="000000"/>
                <w:sz w:val="20"/>
                <w:szCs w:val="20"/>
              </w:rPr>
            </w:pPr>
            <w:r w:rsidRPr="00594446">
              <w:rPr>
                <w:rFonts w:ascii="Arial" w:hAnsi="Arial" w:cs="Arial"/>
                <w:b/>
                <w:color w:val="000000"/>
                <w:sz w:val="20"/>
                <w:szCs w:val="20"/>
              </w:rPr>
              <w:t>Zu 5.4.2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Cs/>
                <w:sz w:val="20"/>
                <w:szCs w:val="20"/>
              </w:rPr>
              <w:t>Die Ankreuzfelder sind in Abhängigkeit von der Projektorganisation nur alternativ zu wählen.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color w:val="000000"/>
                <w:sz w:val="20"/>
                <w:szCs w:val="20"/>
              </w:rPr>
            </w:pPr>
            <w:r w:rsidRPr="00594446">
              <w:rPr>
                <w:rFonts w:ascii="Arial" w:hAnsi="Arial" w:cs="Arial"/>
                <w:b/>
                <w:color w:val="000000"/>
                <w:sz w:val="20"/>
                <w:szCs w:val="20"/>
              </w:rPr>
              <w:t>Zu 5.5</w:t>
            </w:r>
          </w:p>
          <w:p w:rsidR="00741BCA" w:rsidRPr="00594446" w:rsidRDefault="00741BCA" w:rsidP="00741BCA">
            <w:pPr>
              <w:spacing w:before="80" w:line="276" w:lineRule="auto"/>
              <w:ind w:firstLine="549"/>
              <w:rPr>
                <w:rFonts w:ascii="Arial" w:hAnsi="Arial" w:cs="Arial"/>
                <w:b/>
                <w:color w:val="000000"/>
                <w:sz w:val="20"/>
                <w:szCs w:val="20"/>
              </w:rPr>
            </w:pPr>
            <w:r w:rsidRPr="00594446">
              <w:rPr>
                <w:rFonts w:ascii="Arial" w:hAnsi="Arial" w:cs="Arial"/>
                <w:b/>
                <w:color w:val="000000"/>
                <w:sz w:val="20"/>
                <w:szCs w:val="20"/>
              </w:rPr>
              <w:t>Zu 5.5.2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color w:val="000000"/>
                <w:sz w:val="20"/>
                <w:szCs w:val="20"/>
              </w:rPr>
            </w:pPr>
            <w:r w:rsidRPr="00594446">
              <w:rPr>
                <w:rFonts w:ascii="Arial" w:hAnsi="Arial" w:cs="Arial"/>
                <w:b/>
                <w:color w:val="000000"/>
                <w:sz w:val="20"/>
                <w:szCs w:val="20"/>
              </w:rPr>
              <w:t>Einhaltung der Planungs- und Überwachungsziele</w:t>
            </w:r>
          </w:p>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5.7</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5.7.2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Leistungsänderungen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Änderungen des vereinbarten Werkerfolgs gem. § 650b Abs. 1 S. 1 Nr. 1 BGB betreffen</w:t>
            </w:r>
          </w:p>
          <w:p w:rsidR="00741BCA" w:rsidRPr="00594446" w:rsidRDefault="00741BCA" w:rsidP="00741BCA">
            <w:pPr>
              <w:numPr>
                <w:ilvl w:val="0"/>
                <w:numId w:val="31"/>
              </w:numPr>
              <w:spacing w:before="80" w:line="276" w:lineRule="auto"/>
              <w:jc w:val="both"/>
              <w:rPr>
                <w:rFonts w:ascii="Arial" w:hAnsi="Arial" w:cs="Arial"/>
                <w:sz w:val="20"/>
                <w:szCs w:val="20"/>
              </w:rPr>
            </w:pPr>
            <w:r w:rsidRPr="00594446">
              <w:rPr>
                <w:rFonts w:ascii="Arial" w:hAnsi="Arial" w:cs="Arial"/>
                <w:sz w:val="20"/>
                <w:szCs w:val="20"/>
              </w:rPr>
              <w:t>geänderte oder zusätzliche Planungs- und Überwachungsziele oder</w:t>
            </w:r>
          </w:p>
          <w:p w:rsidR="00741BCA" w:rsidRPr="00594446" w:rsidRDefault="00741BCA" w:rsidP="00741BCA">
            <w:pPr>
              <w:numPr>
                <w:ilvl w:val="0"/>
                <w:numId w:val="31"/>
              </w:numPr>
              <w:spacing w:before="80" w:line="276" w:lineRule="auto"/>
              <w:jc w:val="both"/>
              <w:rPr>
                <w:rFonts w:ascii="Arial" w:hAnsi="Arial" w:cs="Arial"/>
                <w:sz w:val="20"/>
                <w:szCs w:val="20"/>
              </w:rPr>
            </w:pPr>
            <w:r w:rsidRPr="00594446">
              <w:rPr>
                <w:rFonts w:ascii="Arial" w:hAnsi="Arial" w:cs="Arial"/>
                <w:sz w:val="20"/>
                <w:szCs w:val="20"/>
              </w:rPr>
              <w:t xml:space="preserve">Leistungen (Grund- oder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Leistungen) aus dem Auftragnehmer bislang nicht übertragenen Leistungsbildern.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Eine Änderung gem. § 650b Abs. 1 S. 1 Nr. 2 BGB, die zur Erreichung des vereinbarten Werkerfolgs notwendig ist, liegt dann vor, wenn</w:t>
            </w:r>
          </w:p>
          <w:p w:rsidR="00741BCA" w:rsidRPr="00594446" w:rsidRDefault="00741BCA" w:rsidP="00741BCA">
            <w:pPr>
              <w:numPr>
                <w:ilvl w:val="0"/>
                <w:numId w:val="31"/>
              </w:numPr>
              <w:spacing w:before="80" w:line="276" w:lineRule="auto"/>
              <w:jc w:val="both"/>
              <w:rPr>
                <w:rFonts w:ascii="Arial" w:hAnsi="Arial" w:cs="Arial"/>
                <w:sz w:val="20"/>
                <w:szCs w:val="20"/>
              </w:rPr>
            </w:pPr>
            <w:r w:rsidRPr="00594446">
              <w:rPr>
                <w:rFonts w:ascii="Arial" w:hAnsi="Arial" w:cs="Arial"/>
                <w:sz w:val="20"/>
                <w:szCs w:val="20"/>
              </w:rPr>
              <w:t xml:space="preserve">nicht beauftragte Leistungen (Grund- oder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Leistungen) des dem Auftragnehmer im Übrigen bereits beauftragten Leistungsbilds erforderlich werden oder</w:t>
            </w:r>
          </w:p>
          <w:p w:rsidR="00741BCA" w:rsidRPr="00594446" w:rsidRDefault="00741BCA" w:rsidP="00741BCA">
            <w:pPr>
              <w:numPr>
                <w:ilvl w:val="0"/>
                <w:numId w:val="31"/>
              </w:numPr>
              <w:spacing w:before="80" w:line="276" w:lineRule="auto"/>
              <w:jc w:val="both"/>
              <w:rPr>
                <w:rFonts w:ascii="Arial" w:hAnsi="Arial" w:cs="Arial"/>
                <w:sz w:val="20"/>
                <w:szCs w:val="20"/>
              </w:rPr>
            </w:pPr>
            <w:r w:rsidRPr="00594446">
              <w:rPr>
                <w:rFonts w:ascii="Arial" w:hAnsi="Arial" w:cs="Arial"/>
                <w:sz w:val="20"/>
                <w:szCs w:val="20"/>
              </w:rPr>
              <w:t>bereits beauftragte Leistungen geändert werden müssen, um den Werkerfolg zu erreichen.</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5.8</w:t>
            </w:r>
          </w:p>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5.8.2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Behandlung von Unterlagen</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Nach der Anlage zu § 6 </w:t>
            </w:r>
            <w:r w:rsidR="00116F8E" w:rsidRPr="00594446">
              <w:rPr>
                <w:rFonts w:ascii="Arial" w:hAnsi="Arial" w:cs="Arial"/>
                <w:sz w:val="20"/>
                <w:szCs w:val="20"/>
              </w:rPr>
              <w:t>(S</w:t>
            </w:r>
            <w:r w:rsidRPr="00594446">
              <w:rPr>
                <w:rFonts w:ascii="Arial" w:hAnsi="Arial" w:cs="Arial"/>
                <w:sz w:val="20"/>
                <w:szCs w:val="20"/>
              </w:rPr>
              <w:t>pezifische Leistungspflichten zum Vertrag Objektplanung – Ingenieurbauwerke</w:t>
            </w:r>
            <w:r w:rsidR="00116F8E" w:rsidRPr="00594446">
              <w:rPr>
                <w:rFonts w:ascii="Arial" w:hAnsi="Arial" w:cs="Arial"/>
                <w:sz w:val="20"/>
                <w:szCs w:val="20"/>
              </w:rPr>
              <w:t>)</w:t>
            </w:r>
            <w:r w:rsidRPr="00594446">
              <w:rPr>
                <w:rFonts w:ascii="Arial" w:hAnsi="Arial" w:cs="Arial"/>
                <w:sz w:val="20"/>
                <w:szCs w:val="20"/>
              </w:rPr>
              <w:t xml:space="preserve"> ist die EW-Bau/HU-Bau/Bauunterlage in vierfacher Ausfertigung zu liefern. Sofern eine größere </w:t>
            </w:r>
            <w:r w:rsidR="00116F8E" w:rsidRPr="00594446">
              <w:rPr>
                <w:rFonts w:ascii="Arial" w:hAnsi="Arial" w:cs="Arial"/>
                <w:sz w:val="20"/>
                <w:szCs w:val="20"/>
              </w:rPr>
              <w:t xml:space="preserve">oder kleinere </w:t>
            </w:r>
            <w:r w:rsidRPr="00594446">
              <w:rPr>
                <w:rFonts w:ascii="Arial" w:hAnsi="Arial" w:cs="Arial"/>
                <w:sz w:val="20"/>
                <w:szCs w:val="20"/>
              </w:rPr>
              <w:t>Anzahl an Ausfertigungen vorzulegen ist, ist dies an dieser Stelle zu vereinbaren.</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left="504" w:hanging="504"/>
              <w:rPr>
                <w:rFonts w:ascii="Arial" w:hAnsi="Arial" w:cs="Arial"/>
                <w:b/>
                <w:sz w:val="20"/>
                <w:szCs w:val="20"/>
              </w:rPr>
            </w:pPr>
            <w:r w:rsidRPr="00594446">
              <w:rPr>
                <w:rFonts w:ascii="Arial" w:hAnsi="Arial" w:cs="Arial"/>
                <w:b/>
                <w:sz w:val="20"/>
                <w:szCs w:val="20"/>
              </w:rPr>
              <w:lastRenderedPageBreak/>
              <w:t>Zu § 6</w:t>
            </w:r>
          </w:p>
          <w:p w:rsidR="00741BCA" w:rsidRPr="00594446" w:rsidRDefault="00741BCA" w:rsidP="00741BCA">
            <w:pPr>
              <w:spacing w:before="80" w:line="276" w:lineRule="auto"/>
              <w:ind w:left="504"/>
              <w:rPr>
                <w:rFonts w:ascii="Arial" w:hAnsi="Arial" w:cs="Arial"/>
                <w:b/>
                <w:sz w:val="20"/>
                <w:szCs w:val="20"/>
              </w:rPr>
            </w:pPr>
            <w:r w:rsidRPr="00594446">
              <w:rPr>
                <w:rFonts w:ascii="Arial" w:hAnsi="Arial" w:cs="Arial"/>
                <w:b/>
                <w:sz w:val="20"/>
                <w:szCs w:val="20"/>
              </w:rPr>
              <w:t>Zu 6.1</w:t>
            </w:r>
          </w:p>
          <w:p w:rsidR="00741BCA" w:rsidRPr="00594446" w:rsidRDefault="00741BCA" w:rsidP="00741BCA">
            <w:pPr>
              <w:spacing w:before="80" w:line="276" w:lineRule="auto"/>
              <w:ind w:left="504"/>
              <w:rPr>
                <w:rFonts w:ascii="Arial" w:hAnsi="Arial" w:cs="Arial"/>
                <w:sz w:val="20"/>
                <w:szCs w:val="20"/>
              </w:rPr>
            </w:pPr>
            <w:r w:rsidRPr="00594446">
              <w:rPr>
                <w:rFonts w:ascii="Arial" w:hAnsi="Arial" w:cs="Arial"/>
                <w:b/>
                <w:sz w:val="20"/>
                <w:szCs w:val="20"/>
              </w:rPr>
              <w:t>Zu 6.1.1</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Spezifische Leistungspflichten</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Leistungsstufe 1</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Das Einreichen der Genehmigungsunterlagen bei den zuständigen Behörden und die Federführung bei Verhandlungen mit diesen obliegen dem Auftraggeber. Diese Teilleistungen sind daher in § 6 Nummer 6.1.1 vorangekreuzt. </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Nur ausnahmsweise (z.</w:t>
            </w:r>
            <w:r w:rsidR="00E479EB" w:rsidRPr="00594446">
              <w:rPr>
                <w:rFonts w:ascii="Arial" w:hAnsi="Arial" w:cs="Arial"/>
                <w:sz w:val="20"/>
                <w:szCs w:val="20"/>
              </w:rPr>
              <w:t> </w:t>
            </w:r>
            <w:r w:rsidRPr="00594446">
              <w:rPr>
                <w:rFonts w:ascii="Arial" w:hAnsi="Arial" w:cs="Arial"/>
                <w:sz w:val="20"/>
                <w:szCs w:val="20"/>
              </w:rPr>
              <w:t>B. Auslandsbau) sind diese Aufgaben delegierbar. Dann sind die Kreuze in Nummer 6.1.1 zu entfernen, in der Anlage zu § 6 das „Mitwirken“ zu streichen und die vollständige Leistung der Leistungsphase 4 gemäß HOAI zu beauftragen.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in § 6 Nummer 6.1.1 angesprochenen Pläne/Unterlagen sind insbesondere: Übersichtsplan, Katasterkarte, Lageplan, Baupläne.</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6.1.2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Übergabe der Unterlagen ist erst dann zu bestätigen, wenn die Unterlagen vollständig vorliegen und der Nutzer sein Einverständnis gegeben hat.</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6.3</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6.3.2</w:t>
            </w: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color w:val="000000"/>
                <w:sz w:val="20"/>
                <w:szCs w:val="20"/>
              </w:rPr>
            </w:pPr>
            <w:r w:rsidRPr="00594446">
              <w:rPr>
                <w:rFonts w:ascii="Arial" w:hAnsi="Arial" w:cs="Arial"/>
                <w:b/>
                <w:color w:val="000000"/>
                <w:sz w:val="20"/>
                <w:szCs w:val="20"/>
              </w:rPr>
              <w:t>Leistungsstufe 3</w:t>
            </w:r>
          </w:p>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 xml:space="preserve">„Durchsicht“ heißt formale Prüfung der Angebote. Sie umfasst die Prüfung der Vollständigkeit der geforderten Angaben und Erklärungen im Angebot und der weiteren Erklärungen und Unterlagen zum Angebot, Änderungen, Unterschrift usw. (siehe Nummer. 1.1 der Richtlinie zu 321 VHB). </w:t>
            </w:r>
          </w:p>
          <w:p w:rsidR="00741BCA" w:rsidRPr="00594446" w:rsidRDefault="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Das Nachrechnen der Angebote ersetzt nicht die rechnerische Prüfung, die als Teilleistung der Leistungsphase 7 durch den Auftragnehmer zu erbringen ist.</w:t>
            </w:r>
            <w:r w:rsidR="00E479EB" w:rsidRPr="00594446">
              <w:rPr>
                <w:rFonts w:ascii="Arial" w:hAnsi="Arial" w:cs="Arial"/>
                <w:color w:val="000000"/>
                <w:sz w:val="20"/>
                <w:szCs w:val="20"/>
              </w:rPr>
              <w:t xml:space="preserve"> (</w:t>
            </w:r>
            <w:r w:rsidR="00B87A0F" w:rsidRPr="00594446">
              <w:rPr>
                <w:rFonts w:ascii="Arial" w:hAnsi="Arial" w:cs="Arial"/>
                <w:color w:val="000000"/>
                <w:sz w:val="20"/>
                <w:szCs w:val="20"/>
              </w:rPr>
              <w:t>S</w:t>
            </w:r>
            <w:r w:rsidR="00E479EB" w:rsidRPr="00594446">
              <w:rPr>
                <w:rFonts w:ascii="Arial" w:hAnsi="Arial" w:cs="Arial"/>
                <w:color w:val="000000"/>
                <w:sz w:val="20"/>
                <w:szCs w:val="20"/>
              </w:rPr>
              <w:t>iehe auch Hinweise zur Anlage zu § 6</w:t>
            </w:r>
            <w:r w:rsidR="00B87A0F" w:rsidRPr="00594446">
              <w:rPr>
                <w:rFonts w:ascii="Arial" w:hAnsi="Arial" w:cs="Arial"/>
                <w:color w:val="000000"/>
                <w:sz w:val="20"/>
                <w:szCs w:val="20"/>
              </w:rPr>
              <w:t>.</w:t>
            </w:r>
            <w:r w:rsidR="00E479EB" w:rsidRPr="00594446">
              <w:rPr>
                <w:rFonts w:ascii="Arial" w:hAnsi="Arial" w:cs="Arial"/>
                <w:color w:val="000000"/>
                <w:sz w:val="20"/>
                <w:szCs w:val="20"/>
              </w:rPr>
              <w:t>)</w:t>
            </w: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color w:val="000000"/>
                <w:sz w:val="20"/>
                <w:szCs w:val="20"/>
              </w:rPr>
            </w:pPr>
          </w:p>
        </w:tc>
      </w:tr>
      <w:tr w:rsidR="00741BCA" w:rsidRPr="00594446" w:rsidTr="004D552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6.4</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6.4.1</w:t>
            </w:r>
          </w:p>
          <w:p w:rsidR="00741BCA" w:rsidRPr="00594446" w:rsidRDefault="00741BCA" w:rsidP="00741BCA">
            <w:pPr>
              <w:spacing w:before="80" w:line="276" w:lineRule="auto"/>
              <w:rPr>
                <w:rFonts w:ascii="Arial" w:hAnsi="Arial" w:cs="Arial"/>
                <w:b/>
                <w:sz w:val="20"/>
                <w:szCs w:val="20"/>
              </w:rPr>
            </w:pPr>
          </w:p>
        </w:tc>
        <w:tc>
          <w:tcPr>
            <w:tcW w:w="7618" w:type="dxa"/>
            <w:gridSpan w:val="3"/>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Leistungsstufe 4</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Dauer der Bauoberleitung und der örtlichen Bauüberwachung ist spätestens</w:t>
            </w:r>
            <w:r w:rsidRPr="00594446">
              <w:rPr>
                <w:rFonts w:ascii="Arial" w:hAnsi="Arial" w:cs="Arial"/>
                <w:b/>
                <w:bCs/>
                <w:i/>
                <w:iCs/>
                <w:sz w:val="20"/>
                <w:szCs w:val="20"/>
              </w:rPr>
              <w:t xml:space="preserve"> </w:t>
            </w:r>
            <w:r w:rsidRPr="00594446">
              <w:rPr>
                <w:rFonts w:ascii="Arial" w:hAnsi="Arial" w:cs="Arial"/>
                <w:sz w:val="20"/>
                <w:szCs w:val="20"/>
              </w:rPr>
              <w:t>mit Beginn der Bauausführung zwischen Auftraggeber und Auftragnehmer einvernehmlich festzulegen</w:t>
            </w:r>
            <w:r w:rsidR="004D44A2" w:rsidRPr="00594446">
              <w:rPr>
                <w:rFonts w:ascii="Arial" w:hAnsi="Arial" w:cs="Arial"/>
                <w:sz w:val="20"/>
                <w:szCs w:val="20"/>
              </w:rPr>
              <w:t>.</w:t>
            </w:r>
            <w:r w:rsidRPr="00594446">
              <w:rPr>
                <w:rFonts w:ascii="Arial" w:hAnsi="Arial" w:cs="Arial"/>
                <w:sz w:val="20"/>
                <w:szCs w:val="20"/>
              </w:rPr>
              <w:t xml:space="preserve"> (Bei Verlängerung der Bauzeit siehe § 10 Nummer 10.2 AVB</w:t>
            </w:r>
            <w:r w:rsidR="004D44A2" w:rsidRPr="00594446">
              <w:rPr>
                <w:rFonts w:ascii="Arial" w:hAnsi="Arial" w:cs="Arial"/>
                <w:sz w:val="20"/>
                <w:szCs w:val="20"/>
              </w:rPr>
              <w:t>.</w:t>
            </w:r>
            <w:r w:rsidRPr="00594446">
              <w:rPr>
                <w:rFonts w:ascii="Arial" w:hAnsi="Arial" w:cs="Arial"/>
                <w:sz w:val="20"/>
                <w:szCs w:val="20"/>
              </w:rPr>
              <w:t>)</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Art. 25 ABG 1975/</w:t>
            </w:r>
            <w:proofErr w:type="spellStart"/>
            <w:r w:rsidRPr="00594446">
              <w:rPr>
                <w:rFonts w:ascii="Arial" w:hAnsi="Arial" w:cs="Arial"/>
                <w:sz w:val="20"/>
                <w:szCs w:val="20"/>
              </w:rPr>
              <w:t>RiABG</w:t>
            </w:r>
            <w:proofErr w:type="spellEnd"/>
            <w:r w:rsidRPr="00594446">
              <w:rPr>
                <w:rFonts w:ascii="Arial" w:hAnsi="Arial" w:cs="Arial"/>
                <w:sz w:val="20"/>
                <w:szCs w:val="20"/>
              </w:rPr>
              <w:t xml:space="preserve"> ist zu beachten.</w:t>
            </w:r>
            <w:r w:rsidR="004D44A2" w:rsidRPr="00594446">
              <w:rPr>
                <w:rFonts w:ascii="Arial" w:hAnsi="Arial" w:cs="Arial"/>
                <w:sz w:val="20"/>
                <w:szCs w:val="20"/>
                <w:vertAlign w:val="superscript"/>
              </w:rPr>
              <w:t>1</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Mit der Bauoberleitung werden in der Regel auch die Leistungen der örtlichen Bauüberwachung übertragen.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Das Vervollständigen / Fortschreiben der Ausführungsplanung stellt eine Grundleistung der Leistungsphase 5 dar und ist, soweit der Auftragnehmer auch mit der Erbringung der Leistungsstufe 2 beauftragt ist, nicht zusätzlich zu vergüten.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6.4.2.4</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Fristen zur Rechnungsvorlage sind so festzulegen, dass die Zahlungsfristen eingehalten werden können. </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Dem Auftragnehmer ist die Anlage VI.3 VHF (ZVB Rechnungsprüfung, Feststellungsvermerke) mit den Vertragsunterlagen zu übergeben. </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6.4.3</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Das Ankreuzen dieser Bedingung setzt voraus, dass der Auftragnehmer tatsächlich mit der Kostenfeststellung beauftragt ist.</w:t>
            </w:r>
          </w:p>
        </w:tc>
      </w:tr>
      <w:tr w:rsidR="00D821BF" w:rsidRPr="00594446" w:rsidTr="004D5521">
        <w:trPr>
          <w:gridAfter w:val="1"/>
          <w:wAfter w:w="35" w:type="dxa"/>
          <w:cantSplit/>
        </w:trPr>
        <w:tc>
          <w:tcPr>
            <w:tcW w:w="1809" w:type="dxa"/>
            <w:shd w:val="clear" w:color="auto" w:fill="auto"/>
          </w:tcPr>
          <w:p w:rsidR="00D821BF" w:rsidRPr="00594446" w:rsidRDefault="00D821BF" w:rsidP="00741BCA">
            <w:pPr>
              <w:spacing w:before="80" w:line="276" w:lineRule="auto"/>
              <w:ind w:firstLine="549"/>
              <w:rPr>
                <w:rFonts w:ascii="Arial" w:hAnsi="Arial" w:cs="Arial"/>
                <w:b/>
                <w:sz w:val="20"/>
                <w:szCs w:val="20"/>
              </w:rPr>
            </w:pPr>
          </w:p>
        </w:tc>
        <w:tc>
          <w:tcPr>
            <w:tcW w:w="7583" w:type="dxa"/>
            <w:gridSpan w:val="2"/>
            <w:shd w:val="clear" w:color="auto" w:fill="auto"/>
          </w:tcPr>
          <w:p w:rsidR="00D821BF" w:rsidRPr="00594446" w:rsidRDefault="00D821BF" w:rsidP="00741BCA">
            <w:pPr>
              <w:spacing w:before="80" w:line="276" w:lineRule="auto"/>
              <w:jc w:val="both"/>
              <w:rPr>
                <w:rFonts w:ascii="Arial" w:hAnsi="Arial" w:cs="Arial"/>
                <w:sz w:val="20"/>
                <w:szCs w:val="20"/>
              </w:rPr>
            </w:pP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6.5</w:t>
            </w:r>
          </w:p>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6.5.1</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Leistungsstufe 5</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Bei der Übertragung dieser Leistungen ist auf eine Abgrenzung der Begehung des Objektes und der jährlichen Begehung zur Ermittlung des Bauunterhalts gemäß Abschnitt C RBBau zu achten.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lastRenderedPageBreak/>
              <w:t>Zu 6.5.2</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Die Grundleistung zur fachlichen Bewertung der festgestellten Mängel einschließlich notwendiger Begehungen bezieht sich auf die Verjährungsfrist gemäß § 438 Absatz 1 Nummer 2 BGB (5 Jahre). Die Überwachung der Mängelbeseitigung innerhalb der Verjährungsfrist ist als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 frei zu vereinbaren.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t>Zu § 7</w:t>
            </w:r>
          </w:p>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7.2</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Fachlich Beteiligte</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Beteiligung eines Projektsteuerers</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Zur Einschaltung eines Projektsteuerers ist K12, Ziffer 3, RBBau </w:t>
            </w:r>
            <w:r w:rsidR="00031DA9" w:rsidRPr="00594446">
              <w:rPr>
                <w:rFonts w:ascii="Arial" w:hAnsi="Arial" w:cs="Arial"/>
                <w:sz w:val="20"/>
                <w:szCs w:val="20"/>
              </w:rPr>
              <w:t xml:space="preserve">sowie I.6 VHF </w:t>
            </w:r>
            <w:r w:rsidRPr="00594446">
              <w:rPr>
                <w:rFonts w:ascii="Arial" w:hAnsi="Arial" w:cs="Arial"/>
                <w:sz w:val="20"/>
                <w:szCs w:val="20"/>
              </w:rPr>
              <w:t>zu beachten. Diese Leistungen dürfen nicht Auftragnehmern übertragen werden, denen gleichzeitig die Objektplanung für das Ingenieurbauwerk übertragen wird.</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t>Zu § 8</w:t>
            </w:r>
          </w:p>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8.1</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Personaleinsatz des Auftragnehmers</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Fachlich Verantwortliche</w:t>
            </w:r>
          </w:p>
          <w:p w:rsidR="00741BCA" w:rsidRPr="00594446" w:rsidRDefault="00A216EF">
            <w:pPr>
              <w:spacing w:before="80" w:line="276" w:lineRule="auto"/>
              <w:jc w:val="both"/>
              <w:rPr>
                <w:rFonts w:ascii="Arial" w:hAnsi="Arial" w:cs="Arial"/>
                <w:sz w:val="20"/>
                <w:szCs w:val="20"/>
              </w:rPr>
            </w:pPr>
            <w:r w:rsidRPr="00594446">
              <w:rPr>
                <w:rFonts w:ascii="Arial" w:hAnsi="Arial" w:cs="Arial"/>
                <w:sz w:val="20"/>
                <w:szCs w:val="20"/>
              </w:rPr>
              <w:t xml:space="preserve">Die für die Erbringung der Leistungen fachlich Verantwortlichen sind zwingend in der </w:t>
            </w:r>
            <w:r w:rsidRPr="00594446">
              <w:rPr>
                <w:rFonts w:ascii="Arial" w:hAnsi="Arial" w:cs="Arial"/>
                <w:color w:val="000000"/>
                <w:sz w:val="20"/>
                <w:szCs w:val="20"/>
              </w:rPr>
              <w:t xml:space="preserve">Anlage zu §§ 8, 10 und 11 (Honorarangebot für Objektplanung – </w:t>
            </w:r>
            <w:r w:rsidR="002A4AFE" w:rsidRPr="00594446">
              <w:rPr>
                <w:rFonts w:ascii="Arial" w:hAnsi="Arial" w:cs="Arial"/>
                <w:color w:val="000000"/>
                <w:sz w:val="20"/>
                <w:szCs w:val="20"/>
              </w:rPr>
              <w:t>Ingenieurbauwerke</w:t>
            </w:r>
            <w:r w:rsidRPr="00594446">
              <w:rPr>
                <w:rFonts w:ascii="Arial" w:hAnsi="Arial" w:cs="Arial"/>
                <w:color w:val="000000"/>
                <w:sz w:val="20"/>
                <w:szCs w:val="20"/>
              </w:rPr>
              <w:t>)</w:t>
            </w:r>
            <w:r w:rsidRPr="00594446">
              <w:rPr>
                <w:rFonts w:ascii="Arial" w:hAnsi="Arial" w:cs="Arial"/>
                <w:sz w:val="20"/>
                <w:szCs w:val="20"/>
              </w:rPr>
              <w:t xml:space="preserve"> einzutragen.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r w:rsidRPr="00594446">
              <w:rPr>
                <w:rFonts w:ascii="Arial" w:hAnsi="Arial" w:cs="Arial"/>
                <w:b/>
                <w:sz w:val="20"/>
                <w:szCs w:val="20"/>
              </w:rPr>
              <w:t>Zu § 9</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Baustellenbüro</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color w:val="000000"/>
                <w:sz w:val="20"/>
                <w:szCs w:val="20"/>
              </w:rPr>
            </w:pPr>
            <w:r w:rsidRPr="00594446">
              <w:rPr>
                <w:rFonts w:ascii="Arial" w:hAnsi="Arial" w:cs="Arial"/>
                <w:b/>
                <w:color w:val="000000"/>
                <w:sz w:val="20"/>
                <w:szCs w:val="20"/>
              </w:rPr>
              <w:t>Zu § 10</w:t>
            </w:r>
          </w:p>
          <w:p w:rsidR="00741BCA" w:rsidRPr="00594446" w:rsidRDefault="002F108F" w:rsidP="00E81C91">
            <w:pPr>
              <w:spacing w:before="80" w:line="276" w:lineRule="auto"/>
              <w:jc w:val="center"/>
              <w:rPr>
                <w:rFonts w:ascii="Arial" w:hAnsi="Arial" w:cs="Arial"/>
                <w:b/>
                <w:sz w:val="20"/>
                <w:szCs w:val="20"/>
              </w:rPr>
            </w:pPr>
            <w:r w:rsidRPr="00594446">
              <w:rPr>
                <w:rFonts w:ascii="Arial" w:hAnsi="Arial" w:cs="Arial"/>
                <w:b/>
                <w:sz w:val="20"/>
                <w:szCs w:val="20"/>
              </w:rPr>
              <w:t>Zu 10.1</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color w:val="000000"/>
                <w:sz w:val="20"/>
                <w:szCs w:val="20"/>
              </w:rPr>
              <w:t>Honorar</w:t>
            </w:r>
          </w:p>
          <w:p w:rsidR="00741BCA" w:rsidRPr="00594446" w:rsidRDefault="00BC743F">
            <w:pPr>
              <w:spacing w:before="80" w:line="276" w:lineRule="auto"/>
              <w:jc w:val="both"/>
              <w:rPr>
                <w:rFonts w:ascii="Arial" w:hAnsi="Arial" w:cs="Arial"/>
                <w:sz w:val="20"/>
                <w:szCs w:val="20"/>
              </w:rPr>
            </w:pPr>
            <w:r w:rsidRPr="00594446">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color w:val="000000"/>
                <w:sz w:val="20"/>
                <w:szCs w:val="20"/>
              </w:rPr>
            </w:pPr>
          </w:p>
        </w:tc>
        <w:tc>
          <w:tcPr>
            <w:tcW w:w="7583" w:type="dxa"/>
            <w:gridSpan w:val="2"/>
            <w:shd w:val="clear" w:color="auto" w:fill="auto"/>
          </w:tcPr>
          <w:p w:rsidR="00BC743F" w:rsidRPr="00594446" w:rsidRDefault="00BC743F" w:rsidP="00BC743F">
            <w:pPr>
              <w:spacing w:before="80" w:line="276" w:lineRule="auto"/>
              <w:jc w:val="both"/>
              <w:rPr>
                <w:rFonts w:ascii="Arial" w:hAnsi="Arial" w:cs="Arial"/>
                <w:sz w:val="20"/>
                <w:szCs w:val="20"/>
              </w:rPr>
            </w:pPr>
            <w:r w:rsidRPr="00594446">
              <w:rPr>
                <w:rFonts w:ascii="Arial" w:hAnsi="Arial" w:cs="Arial"/>
                <w:sz w:val="20"/>
                <w:szCs w:val="20"/>
              </w:rPr>
              <w:t>Bei Vertragsabschluss sind der vorläufigen Honorarermittlung die Kosten der baufachlich genehmigten und haushaltsmäßig anerkannten Kostenermittlung zur/zum ES-Bau/Auftrag ABG 1957/ABG3</w:t>
            </w:r>
            <w:r w:rsidRPr="00594446">
              <w:rPr>
                <w:rFonts w:ascii="Arial" w:hAnsi="Arial" w:cs="Arial"/>
                <w:sz w:val="20"/>
                <w:szCs w:val="20"/>
                <w:vertAlign w:val="superscript"/>
              </w:rPr>
              <w:t>1</w:t>
            </w:r>
            <w:r w:rsidRPr="00594446">
              <w:rPr>
                <w:rFonts w:ascii="Arial" w:hAnsi="Arial" w:cs="Arial"/>
                <w:sz w:val="20"/>
                <w:szCs w:val="20"/>
              </w:rPr>
              <w:t xml:space="preserve"> zugrunde zu legen.</w:t>
            </w:r>
          </w:p>
          <w:p w:rsidR="00741BCA" w:rsidRPr="00594446" w:rsidRDefault="00BC743F" w:rsidP="00741BCA">
            <w:pPr>
              <w:spacing w:before="80" w:line="276" w:lineRule="auto"/>
              <w:jc w:val="both"/>
              <w:rPr>
                <w:rFonts w:ascii="Arial" w:hAnsi="Arial" w:cs="Arial"/>
                <w:sz w:val="20"/>
                <w:szCs w:val="20"/>
              </w:rPr>
            </w:pPr>
            <w:r w:rsidRPr="00594446">
              <w:rPr>
                <w:rFonts w:ascii="Arial" w:hAnsi="Arial" w:cs="Arial"/>
                <w:sz w:val="20"/>
                <w:szCs w:val="20"/>
              </w:rPr>
              <w:t xml:space="preserve">Sie sind in die Anlage </w:t>
            </w:r>
            <w:r w:rsidRPr="00594446">
              <w:rPr>
                <w:rFonts w:ascii="Arial" w:hAnsi="Arial" w:cs="Arial"/>
                <w:color w:val="000000"/>
                <w:sz w:val="20"/>
                <w:szCs w:val="20"/>
              </w:rPr>
              <w:t xml:space="preserve">zu §§ 8, 10 und 11 (Honorarangebot für Objektplanung – Ingenieurbauwerke) </w:t>
            </w:r>
            <w:r w:rsidRPr="00594446">
              <w:rPr>
                <w:rFonts w:ascii="Arial" w:hAnsi="Arial" w:cs="Arial"/>
                <w:sz w:val="20"/>
                <w:szCs w:val="20"/>
              </w:rPr>
              <w:t>einzutragen.</w:t>
            </w:r>
          </w:p>
        </w:tc>
      </w:tr>
      <w:tr w:rsidR="00741BCA" w:rsidRPr="00594446" w:rsidTr="004D5521">
        <w:trPr>
          <w:gridAfter w:val="1"/>
          <w:wAfter w:w="35" w:type="dxa"/>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Das endgültige Honorar für die Leistungen der Leistungsstufe 1 ist auf der Grundlage der mangelfreien Kostenberechnung zur EW-Bau/HU-Bau</w:t>
            </w:r>
            <w:r w:rsidR="00BC743F" w:rsidRPr="00594446">
              <w:rPr>
                <w:rFonts w:ascii="Arial" w:hAnsi="Arial" w:cs="Arial"/>
                <w:sz w:val="20"/>
                <w:szCs w:val="20"/>
                <w:vertAlign w:val="superscript"/>
              </w:rPr>
              <w:t>1</w:t>
            </w:r>
            <w:r w:rsidR="00BC743F" w:rsidRPr="00594446">
              <w:rPr>
                <w:rFonts w:ascii="Arial" w:hAnsi="Arial" w:cs="Arial"/>
                <w:sz w:val="20"/>
                <w:szCs w:val="20"/>
              </w:rPr>
              <w:t xml:space="preserve"> </w:t>
            </w:r>
            <w:r w:rsidRPr="00594446">
              <w:rPr>
                <w:rFonts w:ascii="Arial" w:hAnsi="Arial" w:cs="Arial"/>
                <w:sz w:val="20"/>
                <w:szCs w:val="20"/>
              </w:rPr>
              <w:t>zu ermitteln. Nachträge sind nicht Bestandteil der Kostenberechnung und damit nicht Grundlage für die Honorarermittlung für die Leistungen zur Leistungsstufe 1.</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Werden Änderungen erforderlich, die zu Mehrarbeiten des Objektplaners bei den Leistungen zur Stufe 1 führen, ist über deren angemessene Honorierung eine zusätzliche Vereinbarung zu treffen.</w:t>
            </w:r>
          </w:p>
        </w:tc>
      </w:tr>
    </w:tbl>
    <w:p w:rsidR="00573792" w:rsidRPr="00594446" w:rsidRDefault="00573792">
      <w:r w:rsidRPr="00594446">
        <w:br w:type="page"/>
      </w:r>
    </w:p>
    <w:tbl>
      <w:tblPr>
        <w:tblW w:w="9392" w:type="dxa"/>
        <w:tblLayout w:type="fixed"/>
        <w:tblLook w:val="01E0" w:firstRow="1" w:lastRow="1" w:firstColumn="1" w:lastColumn="1" w:noHBand="0" w:noVBand="0"/>
      </w:tblPr>
      <w:tblGrid>
        <w:gridCol w:w="1809"/>
        <w:gridCol w:w="7583"/>
      </w:tblGrid>
      <w:tr w:rsidR="002A4AFE" w:rsidRPr="00594446" w:rsidTr="00E81C91">
        <w:trPr>
          <w:cantSplit/>
        </w:trPr>
        <w:tc>
          <w:tcPr>
            <w:tcW w:w="1809" w:type="dxa"/>
            <w:shd w:val="clear" w:color="auto" w:fill="auto"/>
          </w:tcPr>
          <w:p w:rsidR="002A4AFE" w:rsidRPr="00594446" w:rsidRDefault="002A4AFE" w:rsidP="00741BCA">
            <w:pPr>
              <w:spacing w:before="80" w:line="276" w:lineRule="auto"/>
              <w:rPr>
                <w:rFonts w:ascii="Arial" w:hAnsi="Arial" w:cs="Arial"/>
                <w:b/>
                <w:sz w:val="20"/>
                <w:szCs w:val="20"/>
              </w:rPr>
            </w:pPr>
          </w:p>
        </w:tc>
        <w:tc>
          <w:tcPr>
            <w:tcW w:w="7583" w:type="dxa"/>
            <w:shd w:val="clear" w:color="auto" w:fill="auto"/>
          </w:tcPr>
          <w:p w:rsidR="002A4AFE" w:rsidRPr="00594446" w:rsidRDefault="002A4AFE" w:rsidP="00741BCA">
            <w:pPr>
              <w:spacing w:before="80" w:line="276" w:lineRule="auto"/>
              <w:jc w:val="both"/>
              <w:rPr>
                <w:rFonts w:ascii="Arial" w:hAnsi="Arial" w:cs="Arial"/>
                <w:sz w:val="20"/>
                <w:szCs w:val="20"/>
              </w:rPr>
            </w:pP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color w:val="000000"/>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Anrechenbare Kosten</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 10 Nummer 10.1 des Vertrages ist in dem Fall nur bedingt – bezogen auf das baufachlich geprüfte und anerkannte Prüfergebnis zur EW-Bau </w:t>
            </w:r>
            <w:r w:rsidR="006D52AC" w:rsidRPr="00594446">
              <w:rPr>
                <w:rFonts w:ascii="Arial" w:hAnsi="Arial" w:cs="Arial"/>
                <w:sz w:val="20"/>
                <w:szCs w:val="20"/>
              </w:rPr>
              <w:t xml:space="preserve">– </w:t>
            </w:r>
            <w:r w:rsidRPr="00594446">
              <w:rPr>
                <w:rFonts w:ascii="Arial" w:hAnsi="Arial" w:cs="Arial"/>
                <w:sz w:val="20"/>
                <w:szCs w:val="20"/>
              </w:rPr>
              <w:t>anwendbar.</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Kosten für die Maschinentechnik, die der Zweckbestimmung des Ingenieurbauwerks dienen, sind anrechenbar, soweit der Objektplaner diese plant oder deren Ausführung überwacht. Die Kosten für die Maschinentechnik sind bei den Kosten der Baukonstruktion im Sinne des § 42 Absatz 1 Satz 1 zu berücksichtigen und nicht den Kosten für die Anlagen der Technischen Ausrüstung im Sinne des § 42 Absatz 2 zuzurechnen. (Aus der Definition der Technischen Ausrüstung in § 53 Absatz 2 Nummer 7 wurden die maschinen- und elektrotechnischen Anlagen in Ingenieurbauwerken entsprechend ausgenommen).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der Ermittlung der anrechenbaren Kosten ist somit zu unterscheiden zwischen Anlagen der Maschinentechnik, die der Zweckbestimmung des Ingenieurbauwerks dienen und den anrechenbaren Kosten des Ingenieurbauwerks zugerechnet werden (§ 42 Absatz 1 HOAI) sowie den Kosten der Technischen Anlagen, die der Technischen Ausrüstung gem. § 53 Absatz 2 zuzuordnen sind (§ 42 Absatz 2 HOAI).</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Bei Anlagen der Maschinentechnik handelt es sich um Anlagen ohne jegliche Anschlusstechnik, die als Einheit vom Hersteller geliefert werden, zum Beispiel um Räumer für Absetzbecken bei Kläranlagen und Wasserwerken, Kammerfilterpressen, um </w:t>
            </w:r>
            <w:proofErr w:type="spellStart"/>
            <w:r w:rsidRPr="00594446">
              <w:rPr>
                <w:rFonts w:ascii="Arial" w:hAnsi="Arial" w:cs="Arial"/>
                <w:sz w:val="20"/>
                <w:szCs w:val="20"/>
              </w:rPr>
              <w:t>Oberflächenbelüfter</w:t>
            </w:r>
            <w:proofErr w:type="spellEnd"/>
            <w:r w:rsidRPr="00594446">
              <w:rPr>
                <w:rFonts w:ascii="Arial" w:hAnsi="Arial" w:cs="Arial"/>
                <w:sz w:val="20"/>
                <w:szCs w:val="20"/>
              </w:rPr>
              <w:t xml:space="preserve"> oder </w:t>
            </w:r>
            <w:proofErr w:type="spellStart"/>
            <w:r w:rsidRPr="00594446">
              <w:rPr>
                <w:rFonts w:ascii="Arial" w:hAnsi="Arial" w:cs="Arial"/>
                <w:sz w:val="20"/>
                <w:szCs w:val="20"/>
              </w:rPr>
              <w:t>Gasentschwefler</w:t>
            </w:r>
            <w:proofErr w:type="spellEnd"/>
            <w:r w:rsidRPr="00594446">
              <w:rPr>
                <w:rFonts w:ascii="Arial" w:hAnsi="Arial" w:cs="Arial"/>
                <w:sz w:val="20"/>
                <w:szCs w:val="20"/>
              </w:rPr>
              <w:t xml:space="preserve"> sowie um Gasspeicher von Abwasserbehandlungsanlagen. Dazu zählen auch die reinen Stahlbauteile bei Schleusen und Wehren und die Grob- und Feinrechen.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Besteht eine Baumaßnahme aus mehreren Ingenieurbauwerken, so sind die Honorare vorbehaltlich der in § 11 HOAI geregelten Ausnahmen für jedes Ingenieurbauwerk getrennt zu berechnen.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mehreren vergleichbaren Ingenieurbauwerken gemäß § 11 Absatz 2 HOAI sind die anrechenbaren Kosten zusammenzufassen.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Leistungen im Bestand sind die anrechenbaren Kosten der mitzuverarbeitenden Bausubstanz (mvB) angemessen zu berücksichtigen (§ 4 Absatz 3 HOAI). Die anrechenbaren Kosten der mvB sind im Zuge der Honorarermittlung auf Grundlage der Kostenberechnung und soweit diese noch nicht vorliegt auf Grundlage der Kostenschätzung festzulegen (§ 6 Absatz 1 Nummer 1 HOAI).</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Bei der Ermittlung der anrechenbaren Kosten der mvB sind sowohl der Umfang als auch der Wert der mvB zu bestimmen. </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der Ermittlung des Umfangs der mvB ist nur die Bausubstanz zu berücksichtigen, die auch technisch oder gestalterisch mitverarbeitet wird (§ 2 Absatz 7 HOAI).</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der Wertermittlung sind zum einen der tatsächliche Erhaltungszustand der Bausubstanz und zum anderen die leistungsbezogene Berücksichtigung in den einzelnen Leistungsphasen maßgebend.</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 xml:space="preserve">Siehe hierzu </w:t>
            </w:r>
            <w:r w:rsidR="00F749CA" w:rsidRPr="00594446">
              <w:rPr>
                <w:rFonts w:ascii="Arial" w:hAnsi="Arial" w:cs="Arial"/>
                <w:sz w:val="20"/>
                <w:szCs w:val="20"/>
              </w:rPr>
              <w:t xml:space="preserve">auch </w:t>
            </w:r>
            <w:r w:rsidRPr="00594446">
              <w:rPr>
                <w:rFonts w:ascii="Arial" w:hAnsi="Arial" w:cs="Arial"/>
                <w:sz w:val="20"/>
                <w:szCs w:val="20"/>
              </w:rPr>
              <w:t>V.B.4 (Regelungen bei Umbauten und Modernisierungen)</w:t>
            </w:r>
            <w:r w:rsidR="00F749CA" w:rsidRPr="00594446">
              <w:rPr>
                <w:rFonts w:ascii="Arial" w:hAnsi="Arial" w:cs="Arial"/>
                <w:sz w:val="20"/>
                <w:szCs w:val="20"/>
              </w:rPr>
              <w:t>.</w:t>
            </w:r>
          </w:p>
        </w:tc>
      </w:tr>
    </w:tbl>
    <w:p w:rsidR="00F749CA" w:rsidRPr="00594446" w:rsidRDefault="00F749CA">
      <w:r w:rsidRPr="00594446">
        <w:br w:type="page"/>
      </w:r>
    </w:p>
    <w:tbl>
      <w:tblPr>
        <w:tblW w:w="9392" w:type="dxa"/>
        <w:tblLayout w:type="fixed"/>
        <w:tblLook w:val="01E0" w:firstRow="1" w:lastRow="1" w:firstColumn="1" w:lastColumn="1" w:noHBand="0" w:noVBand="0"/>
      </w:tblPr>
      <w:tblGrid>
        <w:gridCol w:w="1809"/>
        <w:gridCol w:w="360"/>
        <w:gridCol w:w="7223"/>
      </w:tblGrid>
      <w:tr w:rsidR="00F749CA" w:rsidRPr="00594446" w:rsidTr="00E81C91">
        <w:trPr>
          <w:cantSplit/>
        </w:trPr>
        <w:tc>
          <w:tcPr>
            <w:tcW w:w="1809" w:type="dxa"/>
            <w:shd w:val="clear" w:color="auto" w:fill="auto"/>
          </w:tcPr>
          <w:p w:rsidR="00F749CA" w:rsidRPr="00594446" w:rsidRDefault="00F749CA" w:rsidP="00741BCA">
            <w:pPr>
              <w:spacing w:before="80" w:line="276" w:lineRule="auto"/>
              <w:ind w:firstLine="549"/>
              <w:rPr>
                <w:rFonts w:ascii="Arial" w:hAnsi="Arial" w:cs="Arial"/>
                <w:b/>
                <w:sz w:val="20"/>
                <w:szCs w:val="20"/>
              </w:rPr>
            </w:pPr>
          </w:p>
        </w:tc>
        <w:tc>
          <w:tcPr>
            <w:tcW w:w="7583" w:type="dxa"/>
            <w:gridSpan w:val="2"/>
            <w:shd w:val="clear" w:color="auto" w:fill="auto"/>
          </w:tcPr>
          <w:p w:rsidR="00F749CA" w:rsidRPr="00594446" w:rsidRDefault="00F749CA" w:rsidP="00741BCA">
            <w:pPr>
              <w:spacing w:before="80" w:line="276" w:lineRule="auto"/>
              <w:jc w:val="both"/>
              <w:rPr>
                <w:rFonts w:ascii="Arial" w:hAnsi="Arial" w:cs="Arial"/>
                <w:b/>
                <w:sz w:val="20"/>
                <w:szCs w:val="20"/>
              </w:rPr>
            </w:pPr>
          </w:p>
        </w:tc>
      </w:tr>
      <w:tr w:rsidR="00F749CA" w:rsidRPr="00594446" w:rsidTr="00E81C91">
        <w:trPr>
          <w:cantSplit/>
        </w:trPr>
        <w:tc>
          <w:tcPr>
            <w:tcW w:w="1809" w:type="dxa"/>
            <w:shd w:val="clear" w:color="auto" w:fill="auto"/>
          </w:tcPr>
          <w:p w:rsidR="00F749CA" w:rsidRPr="00594446" w:rsidRDefault="00F749CA" w:rsidP="00E81C91">
            <w:pPr>
              <w:spacing w:before="80" w:line="276" w:lineRule="auto"/>
              <w:rPr>
                <w:rFonts w:ascii="Arial" w:hAnsi="Arial" w:cs="Arial"/>
                <w:b/>
                <w:sz w:val="20"/>
                <w:szCs w:val="20"/>
              </w:rPr>
            </w:pPr>
            <w:r w:rsidRPr="00594446">
              <w:rPr>
                <w:rFonts w:ascii="Arial" w:hAnsi="Arial" w:cs="Arial"/>
                <w:b/>
                <w:sz w:val="20"/>
                <w:szCs w:val="20"/>
              </w:rPr>
              <w:t>Zu 10.2-10.7</w:t>
            </w:r>
          </w:p>
        </w:tc>
        <w:tc>
          <w:tcPr>
            <w:tcW w:w="7583" w:type="dxa"/>
            <w:gridSpan w:val="2"/>
            <w:shd w:val="clear" w:color="auto" w:fill="auto"/>
          </w:tcPr>
          <w:p w:rsidR="00F749CA" w:rsidRPr="00594446" w:rsidRDefault="00F749CA" w:rsidP="0096602C">
            <w:pPr>
              <w:spacing w:before="80" w:line="276" w:lineRule="auto"/>
              <w:jc w:val="both"/>
              <w:rPr>
                <w:rFonts w:ascii="Arial" w:hAnsi="Arial" w:cs="Arial"/>
                <w:b/>
                <w:sz w:val="20"/>
                <w:szCs w:val="20"/>
              </w:rPr>
            </w:pPr>
            <w:r w:rsidRPr="00594446">
              <w:rPr>
                <w:rFonts w:ascii="Arial" w:hAnsi="Arial" w:cs="Arial"/>
                <w:sz w:val="20"/>
                <w:szCs w:val="20"/>
              </w:rPr>
              <w:t xml:space="preserve">Nachfolgende Honorarparameter sind in der </w:t>
            </w:r>
            <w:r w:rsidRPr="00594446">
              <w:rPr>
                <w:rFonts w:ascii="Arial" w:hAnsi="Arial" w:cs="Arial"/>
                <w:color w:val="000000"/>
                <w:sz w:val="20"/>
                <w:szCs w:val="20"/>
              </w:rPr>
              <w:t>Anlage zu §§ 8, 10 und 11 (Honorarangebot für Objektplanung – Ingenieurbauwerke)</w:t>
            </w:r>
            <w:r w:rsidRPr="00594446">
              <w:rPr>
                <w:rFonts w:ascii="Arial" w:hAnsi="Arial" w:cs="Arial"/>
                <w:sz w:val="20"/>
                <w:szCs w:val="20"/>
              </w:rPr>
              <w:t xml:space="preserve"> festzulegen. Das Honorar für die Leistungen des Auftragnehmers berechnet sich auf Grundlage der im </w:t>
            </w:r>
            <w:proofErr w:type="spellStart"/>
            <w:r w:rsidRPr="00594446">
              <w:rPr>
                <w:rFonts w:ascii="Arial" w:hAnsi="Arial" w:cs="Arial"/>
                <w:sz w:val="20"/>
                <w:szCs w:val="20"/>
              </w:rPr>
              <w:t>bezuschlagten</w:t>
            </w:r>
            <w:proofErr w:type="spellEnd"/>
            <w:r w:rsidRPr="00594446">
              <w:rPr>
                <w:rFonts w:ascii="Arial" w:hAnsi="Arial" w:cs="Arial"/>
                <w:sz w:val="20"/>
                <w:szCs w:val="20"/>
              </w:rPr>
              <w:t xml:space="preserve"> Angebot vereinbarten Honorarparametern sowie nach dem ggf. vereinbarten Zu-</w:t>
            </w:r>
            <w:r w:rsidR="0096602C">
              <w:rPr>
                <w:rFonts w:ascii="Arial" w:hAnsi="Arial" w:cs="Arial"/>
                <w:sz w:val="20"/>
                <w:szCs w:val="20"/>
              </w:rPr>
              <w:br/>
            </w:r>
            <w:r w:rsidRPr="00594446">
              <w:rPr>
                <w:rFonts w:ascii="Arial" w:hAnsi="Arial" w:cs="Arial"/>
                <w:sz w:val="20"/>
                <w:szCs w:val="20"/>
              </w:rPr>
              <w:t>oder Abschlag auf das Gesamthonorar der Grundleistungen.</w:t>
            </w:r>
          </w:p>
        </w:tc>
      </w:tr>
      <w:tr w:rsidR="00F749CA" w:rsidRPr="00594446" w:rsidTr="00F749CA">
        <w:trPr>
          <w:cantSplit/>
        </w:trPr>
        <w:tc>
          <w:tcPr>
            <w:tcW w:w="1809" w:type="dxa"/>
            <w:shd w:val="clear" w:color="auto" w:fill="auto"/>
          </w:tcPr>
          <w:p w:rsidR="00F749CA" w:rsidRPr="00594446" w:rsidRDefault="00F749CA" w:rsidP="00F749CA">
            <w:pPr>
              <w:spacing w:before="80" w:line="276" w:lineRule="auto"/>
              <w:rPr>
                <w:rFonts w:ascii="Arial" w:hAnsi="Arial" w:cs="Arial"/>
                <w:b/>
                <w:sz w:val="20"/>
                <w:szCs w:val="20"/>
              </w:rPr>
            </w:pPr>
          </w:p>
        </w:tc>
        <w:tc>
          <w:tcPr>
            <w:tcW w:w="7583" w:type="dxa"/>
            <w:gridSpan w:val="2"/>
            <w:shd w:val="clear" w:color="auto" w:fill="auto"/>
          </w:tcPr>
          <w:p w:rsidR="00F749CA" w:rsidRPr="00594446" w:rsidRDefault="00F749CA" w:rsidP="00F749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Honorarzonen</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Die Honorarzone für das jeweilige Objekt ist gemäß §§ 5 und 44 Absatz 2 bis 7 sowie Anlage 12 Nummer 12.2 HOAI festzulegen Bei Umbauten und Modernisierungen erfolgt die Festlegung der Honorarzonen gemäß § 6 Absatz 2 in Verbindung mit § 44 Absatz 6 HOAI. Bei Instandsetzungen und Instandhaltungen gelten die Regelungen des § 12 HOAI.</w:t>
            </w:r>
          </w:p>
        </w:tc>
      </w:tr>
      <w:tr w:rsidR="00F749CA" w:rsidRPr="00594446" w:rsidTr="00F749CA">
        <w:trPr>
          <w:cantSplit/>
        </w:trPr>
        <w:tc>
          <w:tcPr>
            <w:tcW w:w="1809" w:type="dxa"/>
            <w:shd w:val="clear" w:color="auto" w:fill="auto"/>
          </w:tcPr>
          <w:p w:rsidR="00F749CA" w:rsidRPr="00594446" w:rsidDel="00F749CA" w:rsidRDefault="00F749CA" w:rsidP="00741BCA">
            <w:pPr>
              <w:spacing w:before="80" w:line="276" w:lineRule="auto"/>
              <w:ind w:firstLine="549"/>
              <w:rPr>
                <w:rFonts w:ascii="Arial" w:hAnsi="Arial" w:cs="Arial"/>
                <w:b/>
                <w:sz w:val="20"/>
                <w:szCs w:val="20"/>
              </w:rPr>
            </w:pPr>
          </w:p>
        </w:tc>
        <w:tc>
          <w:tcPr>
            <w:tcW w:w="7583" w:type="dxa"/>
            <w:gridSpan w:val="2"/>
            <w:shd w:val="clear" w:color="auto" w:fill="auto"/>
          </w:tcPr>
          <w:p w:rsidR="00F749CA" w:rsidRPr="00594446" w:rsidRDefault="00F749CA"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Honorarsatz</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F749CA" w:rsidRPr="00594446">
              <w:rPr>
                <w:rFonts w:ascii="Arial" w:hAnsi="Arial" w:cs="Arial"/>
                <w:sz w:val="20"/>
                <w:szCs w:val="20"/>
              </w:rPr>
              <w:t>Basishonorarsatz</w:t>
            </w:r>
            <w:r w:rsidRPr="00594446">
              <w:rPr>
                <w:rFonts w:ascii="Arial" w:hAnsi="Arial" w:cs="Arial"/>
                <w:sz w:val="20"/>
                <w:szCs w:val="20"/>
              </w:rPr>
              <w:t xml:space="preserve"> anzusetzen. </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Ein höherer Honorarsatz kann sich insbesondere </w:t>
            </w:r>
            <w:proofErr w:type="gramStart"/>
            <w:r w:rsidRPr="00594446">
              <w:rPr>
                <w:rFonts w:ascii="Arial" w:hAnsi="Arial" w:cs="Arial"/>
                <w:sz w:val="20"/>
                <w:szCs w:val="20"/>
              </w:rPr>
              <w:t>aus folgenden</w:t>
            </w:r>
            <w:proofErr w:type="gramEnd"/>
            <w:r w:rsidRPr="00594446">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Beteiligung und Koordinierung einer Vielzahl von Bedarfsträgern,</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außergewöhnliche kurze Planungs- und Bauzeiten,</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verbindliche Festtermine und Fristen,</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Planung und Durchführung bei laufenden Betrieb,</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bau- und landschaftsgestalterische Beratung,</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erhöhte Anforderungen an Planungsoptimierung bzw. an Planungsvarianten</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 xml:space="preserve">Berücksichtigung von Forderungen des Denkmalschutzes und der Integration erhaltenswerter Bausubstanz, </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Anwendung neuer Herstellungsverfahren.</w:t>
            </w:r>
          </w:p>
        </w:tc>
      </w:tr>
      <w:tr w:rsidR="008F6EDA" w:rsidRPr="00594446" w:rsidTr="00F749CA">
        <w:trPr>
          <w:cantSplit/>
        </w:trPr>
        <w:tc>
          <w:tcPr>
            <w:tcW w:w="1809" w:type="dxa"/>
            <w:shd w:val="clear" w:color="auto" w:fill="auto"/>
          </w:tcPr>
          <w:p w:rsidR="008F6EDA" w:rsidRPr="00594446" w:rsidRDefault="008F6EDA" w:rsidP="00741BCA">
            <w:pPr>
              <w:spacing w:before="40" w:line="276" w:lineRule="auto"/>
              <w:rPr>
                <w:rFonts w:ascii="Arial" w:hAnsi="Arial" w:cs="Arial"/>
                <w:sz w:val="20"/>
                <w:szCs w:val="20"/>
              </w:rPr>
            </w:pPr>
          </w:p>
        </w:tc>
        <w:tc>
          <w:tcPr>
            <w:tcW w:w="360" w:type="dxa"/>
            <w:shd w:val="clear" w:color="auto" w:fill="auto"/>
          </w:tcPr>
          <w:p w:rsidR="008F6EDA" w:rsidRPr="00594446" w:rsidRDefault="008F6EDA" w:rsidP="00741BCA">
            <w:pPr>
              <w:spacing w:before="40" w:line="276" w:lineRule="auto"/>
              <w:jc w:val="both"/>
              <w:rPr>
                <w:rFonts w:ascii="Arial" w:hAnsi="Arial" w:cs="Arial"/>
                <w:sz w:val="20"/>
                <w:szCs w:val="20"/>
              </w:rPr>
            </w:pPr>
          </w:p>
        </w:tc>
        <w:tc>
          <w:tcPr>
            <w:tcW w:w="7223" w:type="dxa"/>
            <w:shd w:val="clear" w:color="auto" w:fill="auto"/>
          </w:tcPr>
          <w:p w:rsidR="008F6EDA" w:rsidRPr="00594446" w:rsidRDefault="008F6EDA" w:rsidP="00741BCA">
            <w:pPr>
              <w:spacing w:before="4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Vom-Hundert-Sätze</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genannten Summen der v.H.-Sätze für die jeweiligen Leistungsstufen dürfen nicht überschritten werden. Eine höhere Bewertung kann sich in folgenden Fällen ergeben:</w:t>
            </w:r>
          </w:p>
          <w:p w:rsidR="00741BCA" w:rsidRPr="00594446" w:rsidRDefault="00741BCA" w:rsidP="00741BCA">
            <w:pPr>
              <w:numPr>
                <w:ilvl w:val="0"/>
                <w:numId w:val="19"/>
              </w:numPr>
              <w:spacing w:before="80" w:line="276" w:lineRule="auto"/>
              <w:jc w:val="both"/>
              <w:rPr>
                <w:rFonts w:ascii="Arial" w:hAnsi="Arial" w:cs="Arial"/>
                <w:sz w:val="20"/>
                <w:szCs w:val="20"/>
              </w:rPr>
            </w:pPr>
            <w:r w:rsidRPr="00594446">
              <w:rPr>
                <w:rFonts w:ascii="Arial" w:hAnsi="Arial" w:cs="Arial"/>
                <w:sz w:val="20"/>
                <w:szCs w:val="20"/>
              </w:rPr>
              <w:t>§ 9 Absatz 1 oder Absatz 3 HOAI (Beauftragung der Vorplanung, der Entwurfsplanung oder der Objektüberwachung als Einzelleistungen)</w:t>
            </w:r>
            <w:r w:rsidR="008F6EDA" w:rsidRPr="00594446">
              <w:rPr>
                <w:rFonts w:ascii="Arial" w:hAnsi="Arial" w:cs="Arial"/>
                <w:sz w:val="20"/>
                <w:szCs w:val="20"/>
              </w:rPr>
              <w:t>,</w:t>
            </w:r>
          </w:p>
          <w:p w:rsidR="00741BCA" w:rsidRPr="00594446" w:rsidRDefault="00741BCA" w:rsidP="00741BCA">
            <w:pPr>
              <w:numPr>
                <w:ilvl w:val="0"/>
                <w:numId w:val="19"/>
              </w:numPr>
              <w:spacing w:before="80" w:line="276" w:lineRule="auto"/>
              <w:jc w:val="both"/>
              <w:rPr>
                <w:rFonts w:ascii="Arial" w:hAnsi="Arial" w:cs="Arial"/>
                <w:sz w:val="20"/>
                <w:szCs w:val="20"/>
              </w:rPr>
            </w:pPr>
            <w:r w:rsidRPr="00594446">
              <w:rPr>
                <w:rFonts w:ascii="Arial" w:hAnsi="Arial" w:cs="Arial"/>
                <w:sz w:val="20"/>
                <w:szCs w:val="20"/>
              </w:rPr>
              <w:t>§ 43 Absatz 2 HOAI (Objekte nach § 41 Nummer 6 und 7, die eine Tragwerksplanung erfordern),</w:t>
            </w:r>
          </w:p>
          <w:p w:rsidR="00741BCA" w:rsidRPr="00594446" w:rsidRDefault="00741BCA" w:rsidP="00741BCA">
            <w:pPr>
              <w:numPr>
                <w:ilvl w:val="0"/>
                <w:numId w:val="19"/>
              </w:numPr>
              <w:spacing w:before="80" w:line="276" w:lineRule="auto"/>
              <w:jc w:val="both"/>
              <w:rPr>
                <w:rFonts w:ascii="Arial" w:hAnsi="Arial" w:cs="Arial"/>
                <w:sz w:val="20"/>
                <w:szCs w:val="20"/>
              </w:rPr>
            </w:pPr>
            <w:r w:rsidRPr="00594446">
              <w:rPr>
                <w:rFonts w:ascii="Arial" w:hAnsi="Arial" w:cs="Arial"/>
                <w:sz w:val="20"/>
                <w:szCs w:val="20"/>
              </w:rPr>
              <w:t>§ 43 Absatz 3 Nummer 1 HOAI (eigenständiges Planfeststellungsverfahren)</w:t>
            </w:r>
            <w:r w:rsidR="008F6EDA" w:rsidRPr="00594446">
              <w:rPr>
                <w:rFonts w:ascii="Arial" w:hAnsi="Arial" w:cs="Arial"/>
                <w:sz w:val="20"/>
                <w:szCs w:val="20"/>
              </w:rPr>
              <w:t>,</w:t>
            </w:r>
          </w:p>
          <w:p w:rsidR="00741BCA" w:rsidRPr="00594446" w:rsidRDefault="00741BCA" w:rsidP="00741BCA">
            <w:pPr>
              <w:numPr>
                <w:ilvl w:val="0"/>
                <w:numId w:val="19"/>
              </w:numPr>
              <w:spacing w:before="80" w:line="276" w:lineRule="auto"/>
              <w:jc w:val="both"/>
              <w:rPr>
                <w:rFonts w:ascii="Arial" w:hAnsi="Arial" w:cs="Arial"/>
                <w:sz w:val="20"/>
                <w:szCs w:val="20"/>
              </w:rPr>
            </w:pPr>
            <w:r w:rsidRPr="00594446">
              <w:rPr>
                <w:rFonts w:ascii="Arial" w:hAnsi="Arial" w:cs="Arial"/>
                <w:sz w:val="20"/>
                <w:szCs w:val="20"/>
              </w:rPr>
              <w:t>§ 43 Absatz 3 Nummer 2 HOAI (überdurchschnittlicher Aufwand an Ausführungszeichnungen)</w:t>
            </w:r>
            <w:r w:rsidR="008F6EDA" w:rsidRPr="00594446">
              <w:rPr>
                <w:rFonts w:ascii="Arial" w:hAnsi="Arial" w:cs="Arial"/>
                <w:sz w:val="20"/>
                <w:szCs w:val="20"/>
              </w:rPr>
              <w:t>,</w:t>
            </w:r>
          </w:p>
          <w:p w:rsidR="00741BCA" w:rsidRPr="00594446" w:rsidRDefault="00741BCA" w:rsidP="00741BCA">
            <w:pPr>
              <w:numPr>
                <w:ilvl w:val="0"/>
                <w:numId w:val="19"/>
              </w:numPr>
              <w:spacing w:before="80" w:line="276" w:lineRule="auto"/>
              <w:jc w:val="both"/>
              <w:rPr>
                <w:rFonts w:ascii="Arial" w:hAnsi="Arial" w:cs="Arial"/>
                <w:sz w:val="20"/>
                <w:szCs w:val="20"/>
              </w:rPr>
            </w:pPr>
            <w:r w:rsidRPr="00594446">
              <w:rPr>
                <w:rFonts w:ascii="Arial" w:hAnsi="Arial" w:cs="Arial"/>
                <w:sz w:val="20"/>
                <w:szCs w:val="20"/>
              </w:rPr>
              <w:t>im besonderen Ausnahmefall, wenn (z.</w:t>
            </w:r>
            <w:r w:rsidR="008F6EDA" w:rsidRPr="00594446">
              <w:rPr>
                <w:rFonts w:ascii="Arial" w:hAnsi="Arial" w:cs="Arial"/>
                <w:sz w:val="20"/>
                <w:szCs w:val="20"/>
              </w:rPr>
              <w:t> </w:t>
            </w:r>
            <w:r w:rsidRPr="00594446">
              <w:rPr>
                <w:rFonts w:ascii="Arial" w:hAnsi="Arial" w:cs="Arial"/>
                <w:sz w:val="20"/>
                <w:szCs w:val="20"/>
              </w:rPr>
              <w:t>B. beim Auslandsbau) Leistungen, die dem öffentlichen Auftraggeber obliegen, an den Auftragnehmer übertragen werden.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Honorarzuschläge – Bauen im Bestand</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Honorarzuschläge für Umbauten und Modernisierungen (§ 44 Absatz 6 HOAI) oder Instandsetzungen und Instandhaltungen (§ 12 HOAI) sind alternativ anzukreuzen, je nachdem, ob die Voraussetzungen nach § 44 Absatz 6 </w:t>
            </w:r>
            <w:proofErr w:type="spellStart"/>
            <w:r w:rsidRPr="00594446">
              <w:rPr>
                <w:rFonts w:ascii="Arial" w:hAnsi="Arial" w:cs="Arial"/>
                <w:sz w:val="20"/>
                <w:szCs w:val="20"/>
              </w:rPr>
              <w:t>i.V.m</w:t>
            </w:r>
            <w:proofErr w:type="spellEnd"/>
            <w:r w:rsidRPr="00594446">
              <w:rPr>
                <w:rFonts w:ascii="Arial" w:hAnsi="Arial" w:cs="Arial"/>
                <w:sz w:val="20"/>
                <w:szCs w:val="20"/>
              </w:rPr>
              <w:t xml:space="preserve">. § 2 Absätze 5 und 6 oder § 12 </w:t>
            </w:r>
            <w:proofErr w:type="spellStart"/>
            <w:r w:rsidRPr="00594446">
              <w:rPr>
                <w:rFonts w:ascii="Arial" w:hAnsi="Arial" w:cs="Arial"/>
                <w:sz w:val="20"/>
                <w:szCs w:val="20"/>
              </w:rPr>
              <w:t>i.V.m</w:t>
            </w:r>
            <w:proofErr w:type="spellEnd"/>
            <w:r w:rsidRPr="00594446">
              <w:rPr>
                <w:rFonts w:ascii="Arial" w:hAnsi="Arial" w:cs="Arial"/>
                <w:sz w:val="20"/>
                <w:szCs w:val="20"/>
              </w:rPr>
              <w:t>. § 2 Abs. 8 und 9 HOAI vorliegen.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Für Umbauten und Modernisierungen gilt:</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Die Höhe des Zuschlags richtet sich nach dem bei Vertragsabschluss zu erwartenden Schwierigkeitsgrad.</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pPr>
              <w:spacing w:before="40" w:line="276" w:lineRule="auto"/>
              <w:jc w:val="both"/>
              <w:rPr>
                <w:rFonts w:ascii="Arial" w:hAnsi="Arial" w:cs="Arial"/>
                <w:sz w:val="20"/>
                <w:szCs w:val="20"/>
              </w:rPr>
            </w:pPr>
            <w:r w:rsidRPr="00594446">
              <w:rPr>
                <w:rFonts w:ascii="Arial" w:hAnsi="Arial" w:cs="Arial"/>
                <w:sz w:val="20"/>
                <w:szCs w:val="20"/>
              </w:rPr>
              <w:t xml:space="preserve">Sofern keine Vereinbarung </w:t>
            </w:r>
            <w:r w:rsidR="0080202D" w:rsidRPr="00594446">
              <w:rPr>
                <w:rFonts w:ascii="Arial" w:hAnsi="Arial" w:cs="Arial"/>
                <w:sz w:val="20"/>
                <w:szCs w:val="20"/>
              </w:rPr>
              <w:t xml:space="preserve">in Textform </w:t>
            </w:r>
            <w:r w:rsidRPr="00594446">
              <w:rPr>
                <w:rFonts w:ascii="Arial" w:hAnsi="Arial" w:cs="Arial"/>
                <w:sz w:val="20"/>
                <w:szCs w:val="20"/>
              </w:rPr>
              <w:t>getroffen wurde, gilt ab einem durchschnittlichen Schwierigkeitsgrad (HZ III) gemäß § 6 Absatz 2 Satz 3 HOAI, 20 v.H. als vereinbart. Da es sich nicht um einen Mindestumbauzuschlag handelt, kann ein hiervon abweichender Umbauzuschlag vereinbart werden. Die Höhe des möglichen Umbauzuschlags wird in § 44 Absatz 6 HOAI konkretisiert.</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 xml:space="preserve">Für Umbauten und Modernisierungen von Ingenieurbauwerken kann bei Honorarzone III ein Zuschlag bis 33 v.H. auf das ermittelte Honorar </w:t>
            </w:r>
            <w:r w:rsidR="0080202D" w:rsidRPr="00594446">
              <w:rPr>
                <w:rFonts w:ascii="Arial" w:hAnsi="Arial" w:cs="Arial"/>
                <w:sz w:val="20"/>
                <w:szCs w:val="20"/>
              </w:rPr>
              <w:t xml:space="preserve">in Textform </w:t>
            </w:r>
            <w:r w:rsidRPr="00594446">
              <w:rPr>
                <w:rFonts w:ascii="Arial" w:hAnsi="Arial" w:cs="Arial"/>
                <w:sz w:val="20"/>
                <w:szCs w:val="20"/>
              </w:rPr>
              <w:t>vereinbart werden (§ 44 Absatz 6 HOAI).</w:t>
            </w:r>
          </w:p>
        </w:tc>
      </w:tr>
      <w:tr w:rsidR="0080202D" w:rsidRPr="00594446" w:rsidTr="00F749CA">
        <w:trPr>
          <w:cantSplit/>
        </w:trPr>
        <w:tc>
          <w:tcPr>
            <w:tcW w:w="1809" w:type="dxa"/>
            <w:shd w:val="clear" w:color="auto" w:fill="auto"/>
          </w:tcPr>
          <w:p w:rsidR="0080202D" w:rsidRPr="00594446" w:rsidRDefault="0080202D" w:rsidP="00741BCA">
            <w:pPr>
              <w:spacing w:before="80" w:line="276" w:lineRule="auto"/>
              <w:ind w:firstLine="549"/>
              <w:rPr>
                <w:rFonts w:ascii="Arial" w:hAnsi="Arial" w:cs="Arial"/>
                <w:b/>
                <w:sz w:val="20"/>
                <w:szCs w:val="20"/>
              </w:rPr>
            </w:pPr>
          </w:p>
        </w:tc>
        <w:tc>
          <w:tcPr>
            <w:tcW w:w="360" w:type="dxa"/>
            <w:shd w:val="clear" w:color="auto" w:fill="auto"/>
          </w:tcPr>
          <w:p w:rsidR="0080202D" w:rsidRPr="00594446" w:rsidRDefault="0080202D"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80202D" w:rsidRPr="00594446" w:rsidRDefault="0080202D" w:rsidP="00741BCA">
            <w:pPr>
              <w:spacing w:before="40" w:line="276" w:lineRule="auto"/>
              <w:jc w:val="both"/>
              <w:rPr>
                <w:rFonts w:ascii="Arial" w:hAnsi="Arial" w:cs="Arial"/>
                <w:sz w:val="20"/>
                <w:szCs w:val="20"/>
              </w:rPr>
            </w:pPr>
            <w:r w:rsidRPr="00594446">
              <w:rPr>
                <w:rFonts w:ascii="Arial" w:hAnsi="Arial" w:cs="Arial"/>
                <w:sz w:val="20"/>
                <w:szCs w:val="20"/>
              </w:rPr>
              <w:t>Wird für Umbauten und Modernisierungen ein Zuschlag von 0 v.H. vereinbart, ist dies immer festzuhalten.</w:t>
            </w:r>
          </w:p>
        </w:tc>
      </w:tr>
      <w:tr w:rsidR="0080202D" w:rsidRPr="00594446" w:rsidTr="00F749CA">
        <w:trPr>
          <w:cantSplit/>
        </w:trPr>
        <w:tc>
          <w:tcPr>
            <w:tcW w:w="1809" w:type="dxa"/>
            <w:shd w:val="clear" w:color="auto" w:fill="auto"/>
          </w:tcPr>
          <w:p w:rsidR="0080202D" w:rsidRPr="00594446" w:rsidRDefault="0080202D" w:rsidP="00741BCA">
            <w:pPr>
              <w:spacing w:before="80" w:line="276" w:lineRule="auto"/>
              <w:ind w:firstLine="549"/>
              <w:rPr>
                <w:rFonts w:ascii="Arial" w:hAnsi="Arial" w:cs="Arial"/>
                <w:b/>
                <w:sz w:val="20"/>
                <w:szCs w:val="20"/>
              </w:rPr>
            </w:pPr>
          </w:p>
        </w:tc>
        <w:tc>
          <w:tcPr>
            <w:tcW w:w="360" w:type="dxa"/>
            <w:shd w:val="clear" w:color="auto" w:fill="auto"/>
          </w:tcPr>
          <w:p w:rsidR="0080202D" w:rsidRPr="00594446" w:rsidRDefault="0080202D" w:rsidP="00741BCA">
            <w:pPr>
              <w:spacing w:before="40" w:line="276" w:lineRule="auto"/>
              <w:jc w:val="both"/>
              <w:rPr>
                <w:rFonts w:ascii="Arial" w:hAnsi="Arial" w:cs="Arial"/>
                <w:sz w:val="20"/>
                <w:szCs w:val="20"/>
              </w:rPr>
            </w:pPr>
          </w:p>
        </w:tc>
        <w:tc>
          <w:tcPr>
            <w:tcW w:w="7223" w:type="dxa"/>
            <w:shd w:val="clear" w:color="auto" w:fill="auto"/>
          </w:tcPr>
          <w:p w:rsidR="0080202D" w:rsidRPr="00594446" w:rsidRDefault="0080202D" w:rsidP="00741BCA">
            <w:pPr>
              <w:spacing w:before="40" w:line="276" w:lineRule="auto"/>
              <w:jc w:val="both"/>
              <w:rPr>
                <w:rFonts w:ascii="Arial" w:hAnsi="Arial" w:cs="Arial"/>
                <w:sz w:val="20"/>
                <w:szCs w:val="20"/>
              </w:rPr>
            </w:pPr>
            <w:r w:rsidRPr="00594446">
              <w:rPr>
                <w:rFonts w:ascii="Arial" w:hAnsi="Arial" w:cs="Arial"/>
                <w:sz w:val="20"/>
                <w:szCs w:val="20"/>
              </w:rPr>
              <w:t>Damit steht es den Vertragsparteien offen, bei einem anderen Schwierigkeitsgrad der Leistungen, einen niedrigeren oder höheren Zuschlag zu vereinbaren. D</w:t>
            </w:r>
            <w:r w:rsidR="00166DA2" w:rsidRPr="00594446">
              <w:rPr>
                <w:rFonts w:ascii="Arial" w:hAnsi="Arial" w:cs="Arial"/>
                <w:sz w:val="20"/>
                <w:szCs w:val="20"/>
              </w:rPr>
              <w:t>ie Entscheidung ist zu begründen und zu dokumentieren.</w:t>
            </w:r>
          </w:p>
        </w:tc>
      </w:tr>
      <w:tr w:rsidR="0080202D" w:rsidRPr="00594446" w:rsidTr="00F749CA">
        <w:trPr>
          <w:cantSplit/>
        </w:trPr>
        <w:tc>
          <w:tcPr>
            <w:tcW w:w="1809" w:type="dxa"/>
            <w:shd w:val="clear" w:color="auto" w:fill="auto"/>
          </w:tcPr>
          <w:p w:rsidR="0080202D" w:rsidRPr="00594446" w:rsidRDefault="0080202D" w:rsidP="00741BCA">
            <w:pPr>
              <w:spacing w:before="80" w:line="276" w:lineRule="auto"/>
              <w:ind w:firstLine="549"/>
              <w:rPr>
                <w:rFonts w:ascii="Arial" w:hAnsi="Arial" w:cs="Arial"/>
                <w:b/>
                <w:sz w:val="20"/>
                <w:szCs w:val="20"/>
              </w:rPr>
            </w:pPr>
          </w:p>
        </w:tc>
        <w:tc>
          <w:tcPr>
            <w:tcW w:w="360" w:type="dxa"/>
            <w:shd w:val="clear" w:color="auto" w:fill="auto"/>
          </w:tcPr>
          <w:p w:rsidR="0080202D" w:rsidRPr="00594446" w:rsidRDefault="0080202D" w:rsidP="00741BCA">
            <w:pPr>
              <w:spacing w:before="40" w:line="276" w:lineRule="auto"/>
              <w:jc w:val="both"/>
              <w:rPr>
                <w:rFonts w:ascii="Arial" w:hAnsi="Arial" w:cs="Arial"/>
                <w:sz w:val="20"/>
                <w:szCs w:val="20"/>
              </w:rPr>
            </w:pPr>
          </w:p>
        </w:tc>
        <w:tc>
          <w:tcPr>
            <w:tcW w:w="7223" w:type="dxa"/>
            <w:shd w:val="clear" w:color="auto" w:fill="auto"/>
          </w:tcPr>
          <w:p w:rsidR="0080202D" w:rsidRPr="00594446" w:rsidRDefault="00573792" w:rsidP="00741BCA">
            <w:pPr>
              <w:spacing w:before="40" w:line="276" w:lineRule="auto"/>
              <w:jc w:val="both"/>
              <w:rPr>
                <w:rFonts w:ascii="Arial" w:hAnsi="Arial" w:cs="Arial"/>
                <w:sz w:val="20"/>
                <w:szCs w:val="20"/>
              </w:rPr>
            </w:pPr>
            <w:r w:rsidRPr="00594446">
              <w:rPr>
                <w:rFonts w:ascii="Arial" w:hAnsi="Arial" w:cs="Arial"/>
                <w:sz w:val="20"/>
                <w:szCs w:val="20"/>
              </w:rPr>
              <w:t>Bei überdurchschnittlichem Schwierigkeitsgrad gilt der Hinweis zum Honorarsatz.</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Bei Instandsetzungen und Instandhaltungen gilt:</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 xml:space="preserve">Es kann ein Vomhundertsatz für Ingenieurbauwerke bis 22,5 v.H. für die Bauoberleitung – Leistungsstufe 4 – vereinbart werden (Erhöhung um 50 v.H. gemäß § 12 HOAI entspricht 15 v.H. zuzüglich 7,5 v.H.). Der Zuschlag ist, sofern eine Vereinbarung getroffen werden soll, bei Vertragsabschluss </w:t>
            </w:r>
            <w:r w:rsidR="002768D0" w:rsidRPr="00594446">
              <w:rPr>
                <w:rFonts w:ascii="Arial" w:hAnsi="Arial" w:cs="Arial"/>
                <w:sz w:val="20"/>
                <w:szCs w:val="20"/>
              </w:rPr>
              <w:t>in Textform</w:t>
            </w:r>
            <w:r w:rsidRPr="00594446">
              <w:rPr>
                <w:rFonts w:ascii="Arial" w:hAnsi="Arial" w:cs="Arial"/>
                <w:sz w:val="20"/>
                <w:szCs w:val="20"/>
              </w:rPr>
              <w:t xml:space="preserve"> zu vereinbaren.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A20B7" w:rsidP="00741BCA">
            <w:pPr>
              <w:spacing w:before="80" w:line="276" w:lineRule="auto"/>
              <w:jc w:val="both"/>
              <w:rPr>
                <w:rFonts w:ascii="Arial" w:hAnsi="Arial" w:cs="Arial"/>
                <w:b/>
                <w:sz w:val="20"/>
                <w:szCs w:val="20"/>
              </w:rPr>
            </w:pPr>
            <w:r w:rsidRPr="00594446">
              <w:rPr>
                <w:rFonts w:ascii="Arial" w:hAnsi="Arial" w:cs="Arial"/>
                <w:sz w:val="20"/>
                <w:szCs w:val="20"/>
              </w:rPr>
              <w:t>Siehe auch V.B.4 (Regelungen bei Umbauten und Modernisierungen).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Mehrere Ingenieurbauwerke gemäß § 11 Absätze 3 bis 4 HOAI (Wiederholungsbauten)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Umfasst ein Auftrag mehrere im Wesentlichen gleiche Ingenieurbauwerke, die im zeitlichen oder örtlichen Zusammenhang unter gleichen baulichen Verhältnissen geplant und errichtet werden sollen, oder mehrere Gebäude nach Typenplanung oder Serienbauten, wird gemäß § 11 Absatz 3 HOAI </w:t>
            </w:r>
            <w:r w:rsidR="00573792" w:rsidRPr="00594446">
              <w:rPr>
                <w:rFonts w:ascii="Arial" w:hAnsi="Arial" w:cs="Arial"/>
                <w:sz w:val="20"/>
                <w:szCs w:val="20"/>
              </w:rPr>
              <w:t xml:space="preserve">eine </w:t>
            </w:r>
            <w:r w:rsidRPr="00594446">
              <w:rPr>
                <w:rFonts w:ascii="Arial" w:hAnsi="Arial" w:cs="Arial"/>
                <w:sz w:val="20"/>
                <w:szCs w:val="20"/>
              </w:rPr>
              <w:t>Vereinbarung getroffen:</w:t>
            </w:r>
          </w:p>
          <w:p w:rsidR="00882947" w:rsidRPr="00594446" w:rsidRDefault="00882947" w:rsidP="00882947">
            <w:pPr>
              <w:spacing w:before="80" w:line="276" w:lineRule="auto"/>
              <w:jc w:val="both"/>
              <w:rPr>
                <w:rFonts w:ascii="Arial" w:hAnsi="Arial" w:cs="Arial"/>
                <w:sz w:val="20"/>
                <w:szCs w:val="20"/>
              </w:rPr>
            </w:pPr>
            <w:r w:rsidRPr="00594446">
              <w:rPr>
                <w:rFonts w:ascii="Arial" w:hAnsi="Arial" w:cs="Arial"/>
                <w:sz w:val="20"/>
                <w:szCs w:val="20"/>
              </w:rPr>
              <w:t>Das Honorar für die Leistungen der Leistungsstufen 1, 2 und anteilig 3 (nur LPH 6 - Vorbereitung der Vergabe) wird wie folgt vereinbart:</w:t>
            </w:r>
          </w:p>
          <w:p w:rsidR="00882947" w:rsidRPr="00594446" w:rsidRDefault="00882947" w:rsidP="00882947">
            <w:pPr>
              <w:spacing w:before="80" w:line="276" w:lineRule="auto"/>
              <w:jc w:val="both"/>
              <w:rPr>
                <w:rFonts w:ascii="Arial" w:hAnsi="Arial" w:cs="Arial"/>
                <w:sz w:val="20"/>
                <w:szCs w:val="20"/>
              </w:rPr>
            </w:pPr>
            <w:r w:rsidRPr="00594446">
              <w:rPr>
                <w:rFonts w:ascii="Arial" w:hAnsi="Arial" w:cs="Arial"/>
                <w:sz w:val="20"/>
                <w:szCs w:val="20"/>
              </w:rPr>
              <w:t>Für die 1.- 4. Wiederholung: Minderung der Ansätze um 50 v.H. des Honorars</w:t>
            </w:r>
          </w:p>
          <w:p w:rsidR="00882947" w:rsidRPr="00594446" w:rsidRDefault="00882947" w:rsidP="00882947">
            <w:pPr>
              <w:spacing w:before="80" w:line="276" w:lineRule="auto"/>
              <w:jc w:val="both"/>
              <w:rPr>
                <w:rFonts w:ascii="Arial" w:hAnsi="Arial" w:cs="Arial"/>
                <w:sz w:val="20"/>
                <w:szCs w:val="20"/>
              </w:rPr>
            </w:pPr>
            <w:r w:rsidRPr="00594446">
              <w:rPr>
                <w:rFonts w:ascii="Arial" w:hAnsi="Arial" w:cs="Arial"/>
                <w:sz w:val="20"/>
                <w:szCs w:val="20"/>
              </w:rPr>
              <w:t>Für die 5.- 7. Wiederholung: Minderung der Ansätze um 60 v.H. des Honorars</w:t>
            </w:r>
          </w:p>
          <w:p w:rsidR="00741BCA" w:rsidRPr="00594446" w:rsidRDefault="00882947" w:rsidP="00882947">
            <w:pPr>
              <w:spacing w:before="80" w:line="276" w:lineRule="auto"/>
              <w:jc w:val="both"/>
              <w:rPr>
                <w:rFonts w:ascii="Arial" w:hAnsi="Arial" w:cs="Arial"/>
                <w:sz w:val="20"/>
                <w:szCs w:val="20"/>
              </w:rPr>
            </w:pPr>
            <w:r w:rsidRPr="00594446">
              <w:rPr>
                <w:rFonts w:ascii="Arial" w:hAnsi="Arial" w:cs="Arial"/>
                <w:sz w:val="20"/>
                <w:szCs w:val="20"/>
              </w:rPr>
              <w:t>Ab der 8. Wiederholung: Minderung der Ansätze um 90 v.H. des Honorars</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br w:type="page"/>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Umfasst ein Auftrag Grundleistungen, die bereits Gegenstand eines anderen Auftrags über ein gleiches Ingenieurbauwerk zwischen den Vertragsparteien waren, so werden die v.H.-Sätze der beauftragten Leistungsphasen auch dann gemäß § 11 </w:t>
            </w:r>
            <w:r w:rsidRPr="00594446">
              <w:rPr>
                <w:rFonts w:ascii="Arial" w:hAnsi="Arial" w:cs="Arial"/>
                <w:sz w:val="20"/>
                <w:szCs w:val="20"/>
              </w:rPr>
              <w:lastRenderedPageBreak/>
              <w:t>Absatz 3 HOAI gemindert, wenn die Leistungen nicht im zeitlichen oder örtlichen Zusammenhang erbracht werden (§ 11 Absatz 4 HOAI). Im Gegensatz zu § 11 Absatz 3 HOAI greift hier die Minderung des Honorars für alle Objekte, da die erste (vollhonorierte) Planung durch den anderen, früheren Auftrag zwischen den Vertragsparteien abgerechnet wurde.</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Zu der Regelung des § 11 Absatz 2 HOAI, der das Zusammenfassen der anrechenbaren Kosten von mehreren vergleichbaren Gebäuden betrifft, siehe zu § 10 Nummer 10.1 der Hinweise.</w:t>
            </w:r>
          </w:p>
        </w:tc>
      </w:tr>
      <w:tr w:rsidR="00563394" w:rsidRPr="00594446" w:rsidTr="00F749CA">
        <w:tc>
          <w:tcPr>
            <w:tcW w:w="1809" w:type="dxa"/>
            <w:shd w:val="clear" w:color="auto" w:fill="auto"/>
          </w:tcPr>
          <w:p w:rsidR="00563394" w:rsidRPr="00594446" w:rsidDel="00563394" w:rsidRDefault="00563394" w:rsidP="00741BCA">
            <w:pPr>
              <w:spacing w:before="80" w:line="276" w:lineRule="auto"/>
              <w:ind w:firstLine="549"/>
              <w:rPr>
                <w:rFonts w:ascii="Arial" w:hAnsi="Arial" w:cs="Arial"/>
                <w:b/>
                <w:sz w:val="20"/>
                <w:szCs w:val="20"/>
              </w:rPr>
            </w:pPr>
          </w:p>
        </w:tc>
        <w:tc>
          <w:tcPr>
            <w:tcW w:w="7583" w:type="dxa"/>
            <w:gridSpan w:val="2"/>
            <w:shd w:val="clear" w:color="auto" w:fill="auto"/>
          </w:tcPr>
          <w:p w:rsidR="00563394" w:rsidRPr="00594446" w:rsidDel="00563394" w:rsidRDefault="00563394" w:rsidP="00741BCA">
            <w:pPr>
              <w:spacing w:before="80" w:line="276" w:lineRule="auto"/>
              <w:jc w:val="both"/>
              <w:rPr>
                <w:rFonts w:ascii="Arial" w:hAnsi="Arial" w:cs="Arial"/>
                <w:sz w:val="20"/>
                <w:szCs w:val="20"/>
              </w:rPr>
            </w:pP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FB29DD" w:rsidRPr="00594446" w:rsidRDefault="00FB29DD" w:rsidP="00FB29DD">
            <w:pPr>
              <w:spacing w:before="80" w:line="276" w:lineRule="auto"/>
              <w:jc w:val="both"/>
              <w:rPr>
                <w:rFonts w:ascii="Arial" w:hAnsi="Arial" w:cs="Arial"/>
                <w:b/>
                <w:sz w:val="20"/>
                <w:szCs w:val="20"/>
              </w:rPr>
            </w:pPr>
            <w:r w:rsidRPr="00594446">
              <w:rPr>
                <w:rFonts w:ascii="Arial" w:hAnsi="Arial" w:cs="Arial"/>
                <w:b/>
                <w:sz w:val="20"/>
                <w:szCs w:val="20"/>
              </w:rPr>
              <w:t>Zu- oder Abschlag auf das Gesamthonorar der Grundleistungen</w:t>
            </w:r>
          </w:p>
          <w:p w:rsidR="00741BCA" w:rsidRPr="00594446" w:rsidRDefault="003851F6" w:rsidP="00741BCA">
            <w:pPr>
              <w:spacing w:before="80" w:line="276" w:lineRule="auto"/>
              <w:jc w:val="both"/>
              <w:rPr>
                <w:rFonts w:ascii="Arial" w:hAnsi="Arial" w:cs="Arial"/>
                <w:sz w:val="20"/>
                <w:szCs w:val="20"/>
              </w:rPr>
            </w:pPr>
            <w:r w:rsidRPr="00594446">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594446">
              <w:rPr>
                <w:rFonts w:ascii="Arial" w:hAnsi="Arial" w:cs="Arial"/>
                <w:sz w:val="20"/>
                <w:szCs w:val="20"/>
              </w:rPr>
              <w:t>Das</w:t>
            </w:r>
            <w:proofErr w:type="gramEnd"/>
            <w:r w:rsidRPr="00594446">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Pr="00594446">
              <w:rPr>
                <w:rFonts w:ascii="Arial" w:hAnsi="Arial" w:cs="Arial"/>
                <w:sz w:val="20"/>
                <w:szCs w:val="20"/>
              </w:rPr>
              <w:t>Besonderen</w:t>
            </w:r>
            <w:proofErr w:type="spellEnd"/>
            <w:r w:rsidRPr="00594446">
              <w:rPr>
                <w:rFonts w:ascii="Arial" w:hAnsi="Arial" w:cs="Arial"/>
                <w:sz w:val="20"/>
                <w:szCs w:val="20"/>
              </w:rPr>
              <w:t xml:space="preserve"> Leistungen und sonstigen Kosten, hinsichtlich der Wirtschaftlichkeit und </w:t>
            </w:r>
            <w:proofErr w:type="spellStart"/>
            <w:r w:rsidRPr="00594446">
              <w:rPr>
                <w:rFonts w:ascii="Arial" w:hAnsi="Arial" w:cs="Arial"/>
                <w:sz w:val="20"/>
                <w:szCs w:val="20"/>
              </w:rPr>
              <w:t>Auskömmlichkeit</w:t>
            </w:r>
            <w:proofErr w:type="spellEnd"/>
            <w:r w:rsidRPr="00594446">
              <w:rPr>
                <w:rFonts w:ascii="Arial" w:hAnsi="Arial" w:cs="Arial"/>
                <w:sz w:val="20"/>
                <w:szCs w:val="20"/>
              </w:rPr>
              <w:t xml:space="preserve"> zu beurteilen. Über die Regelung des § 60 </w:t>
            </w:r>
            <w:proofErr w:type="spellStart"/>
            <w:r w:rsidRPr="00594446">
              <w:rPr>
                <w:rFonts w:ascii="Arial" w:hAnsi="Arial" w:cs="Arial"/>
                <w:sz w:val="20"/>
                <w:szCs w:val="20"/>
              </w:rPr>
              <w:t>VgV</w:t>
            </w:r>
            <w:proofErr w:type="spellEnd"/>
            <w:r w:rsidRPr="00594446">
              <w:rPr>
                <w:rFonts w:ascii="Arial" w:hAnsi="Arial" w:cs="Arial"/>
                <w:sz w:val="20"/>
                <w:szCs w:val="20"/>
              </w:rPr>
              <w:t xml:space="preserve"> hinaus (Aufklärung ungewöhnlich niedriger Angebote) ist die Entscheidung über eine erforderliche Aufklärung des Honorarangebots im Einzelfall zu treffen.  </w:t>
            </w:r>
          </w:p>
        </w:tc>
      </w:tr>
      <w:tr w:rsidR="003851F6" w:rsidRPr="00594446" w:rsidTr="00F749CA">
        <w:tc>
          <w:tcPr>
            <w:tcW w:w="1809" w:type="dxa"/>
            <w:shd w:val="clear" w:color="auto" w:fill="auto"/>
          </w:tcPr>
          <w:p w:rsidR="003851F6" w:rsidRPr="00594446" w:rsidDel="00563394" w:rsidRDefault="003851F6" w:rsidP="00741BCA">
            <w:pPr>
              <w:spacing w:before="80" w:line="276" w:lineRule="auto"/>
              <w:ind w:firstLine="549"/>
              <w:rPr>
                <w:rFonts w:ascii="Arial" w:hAnsi="Arial" w:cs="Arial"/>
                <w:b/>
                <w:sz w:val="20"/>
                <w:szCs w:val="20"/>
              </w:rPr>
            </w:pPr>
          </w:p>
        </w:tc>
        <w:tc>
          <w:tcPr>
            <w:tcW w:w="7583" w:type="dxa"/>
            <w:gridSpan w:val="2"/>
            <w:shd w:val="clear" w:color="auto" w:fill="auto"/>
          </w:tcPr>
          <w:p w:rsidR="003851F6" w:rsidRPr="00594446" w:rsidRDefault="003851F6" w:rsidP="00741BCA">
            <w:pPr>
              <w:spacing w:before="80" w:line="276" w:lineRule="auto"/>
              <w:jc w:val="both"/>
              <w:rPr>
                <w:rFonts w:ascii="Arial" w:hAnsi="Arial" w:cs="Arial"/>
                <w:sz w:val="20"/>
                <w:szCs w:val="20"/>
              </w:rPr>
            </w:pP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10.9</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Besondere Leistungen</w:t>
            </w:r>
          </w:p>
          <w:p w:rsidR="000A5E69" w:rsidRPr="00594446" w:rsidRDefault="000A5E69" w:rsidP="00741BCA">
            <w:pPr>
              <w:spacing w:before="80" w:line="276" w:lineRule="auto"/>
              <w:jc w:val="both"/>
              <w:rPr>
                <w:rFonts w:ascii="Arial" w:hAnsi="Arial" w:cs="Arial"/>
                <w:sz w:val="20"/>
                <w:szCs w:val="20"/>
              </w:rPr>
            </w:pPr>
            <w:r w:rsidRPr="00594446">
              <w:rPr>
                <w:rFonts w:ascii="Arial" w:hAnsi="Arial" w:cs="Arial"/>
                <w:sz w:val="20"/>
                <w:szCs w:val="20"/>
              </w:rPr>
              <w:t xml:space="preserve">Besondere Leistungen werden entweder pauschal oder zum Nachweis oder nach den vereinbarten Stundensätzen bzw. mit den v.H.-Sätzen auf das Grundhonorar vergütet. Art und Umfang der Leistungen sind in der Anlage zu § 6 aufzunehmen. Die Honorarvereinbarungen sind in der </w:t>
            </w:r>
            <w:r w:rsidRPr="00594446">
              <w:rPr>
                <w:rFonts w:ascii="Arial" w:hAnsi="Arial" w:cs="Arial"/>
                <w:color w:val="000000"/>
                <w:sz w:val="20"/>
                <w:szCs w:val="20"/>
              </w:rPr>
              <w:t xml:space="preserve">Anlage zu §§ 8, 10 und 11 </w:t>
            </w:r>
            <w:r w:rsidRPr="00594446">
              <w:rPr>
                <w:rFonts w:ascii="Arial" w:hAnsi="Arial" w:cs="Arial"/>
                <w:sz w:val="20"/>
                <w:szCs w:val="20"/>
              </w:rPr>
              <w:t xml:space="preserve">(Honorarangebot für Objektplanung – </w:t>
            </w:r>
            <w:r w:rsidR="00902E32" w:rsidRPr="00594446">
              <w:rPr>
                <w:rFonts w:ascii="Arial" w:hAnsi="Arial" w:cs="Arial"/>
                <w:sz w:val="20"/>
                <w:szCs w:val="20"/>
              </w:rPr>
              <w:t>Ingenieurbauwerke</w:t>
            </w:r>
            <w:r w:rsidRPr="00594446">
              <w:rPr>
                <w:rFonts w:ascii="Arial" w:hAnsi="Arial" w:cs="Arial"/>
                <w:sz w:val="20"/>
                <w:szCs w:val="20"/>
              </w:rPr>
              <w:t>) festzulegen.</w:t>
            </w:r>
          </w:p>
          <w:p w:rsidR="00741BCA" w:rsidRPr="00594446" w:rsidRDefault="00741BCA">
            <w:pPr>
              <w:spacing w:before="80" w:line="276" w:lineRule="auto"/>
              <w:jc w:val="both"/>
              <w:rPr>
                <w:rFonts w:ascii="Arial" w:hAnsi="Arial" w:cs="Arial"/>
                <w:sz w:val="20"/>
                <w:szCs w:val="20"/>
              </w:rPr>
            </w:pPr>
            <w:r w:rsidRPr="00594446">
              <w:rPr>
                <w:rFonts w:ascii="Arial" w:hAnsi="Arial" w:cs="Arial"/>
                <w:sz w:val="20"/>
                <w:szCs w:val="20"/>
              </w:rPr>
              <w:t xml:space="preserve">Die örtliche Bauüberwachung ist </w:t>
            </w:r>
            <w:r w:rsidR="00053A99" w:rsidRPr="00594446">
              <w:rPr>
                <w:rFonts w:ascii="Arial" w:hAnsi="Arial" w:cs="Arial"/>
                <w:sz w:val="20"/>
                <w:szCs w:val="20"/>
              </w:rPr>
              <w:t xml:space="preserve">eine </w:t>
            </w:r>
            <w:proofErr w:type="spellStart"/>
            <w:r w:rsidR="00053A99" w:rsidRPr="00594446">
              <w:rPr>
                <w:rFonts w:ascii="Arial" w:hAnsi="Arial" w:cs="Arial"/>
                <w:sz w:val="20"/>
                <w:szCs w:val="20"/>
              </w:rPr>
              <w:t>Besondere</w:t>
            </w:r>
            <w:proofErr w:type="spellEnd"/>
            <w:r w:rsidR="00053A99" w:rsidRPr="00594446">
              <w:rPr>
                <w:rFonts w:ascii="Arial" w:hAnsi="Arial" w:cs="Arial"/>
                <w:sz w:val="20"/>
                <w:szCs w:val="20"/>
              </w:rPr>
              <w:t xml:space="preserve"> Leistung.</w:t>
            </w:r>
            <w:r w:rsidRPr="00594446">
              <w:rPr>
                <w:rFonts w:ascii="Arial" w:hAnsi="Arial" w:cs="Arial"/>
                <w:sz w:val="20"/>
                <w:szCs w:val="20"/>
              </w:rPr>
              <w:t xml:space="preserve"> Bei einer Honorierung als v.H.-Wert der anrechenbaren Kosten, kann hierzu auch weiterhin als Orientierungswert 2,3 bis 3,5 % der anrechenbaren Kosten angenommen werden.</w:t>
            </w:r>
          </w:p>
        </w:tc>
      </w:tr>
      <w:tr w:rsidR="00741BCA" w:rsidRPr="00594446" w:rsidTr="00E81C91">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Abweichend hiervon kann ein Honorar als Festbetrag unter Zugrundelegung der geschätzten Bauzeit vereinbart werden, wenn auf Wunsch des Auftraggebers eine sehr eingehende örtliche Bauüberwachung gefordert wird oder eine solche Bauüberwachung wegen der Schwierigkeiten bei der Ausführung des Objektes erforderlich wird, und wenn in solchen Fällen eine Honorierung nach Vomhundertsatz der anrechenbaren Kosten nicht zu einem leistungsgerechten Honorar führen würde, z.</w:t>
            </w:r>
            <w:r w:rsidR="00902E32" w:rsidRPr="00594446">
              <w:rPr>
                <w:rFonts w:ascii="Arial" w:hAnsi="Arial" w:cs="Arial"/>
                <w:sz w:val="20"/>
                <w:szCs w:val="20"/>
              </w:rPr>
              <w:t> </w:t>
            </w:r>
            <w:r w:rsidRPr="00594446">
              <w:rPr>
                <w:rFonts w:ascii="Arial" w:hAnsi="Arial" w:cs="Arial"/>
                <w:sz w:val="20"/>
                <w:szCs w:val="20"/>
              </w:rPr>
              <w:t>B. weil die anrechenbaren Kosten gering sind.</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Anlagen der Verfahrens- und Prozesstechnik gemäß § 41 Nummer 1 bis 3 und 5 HOAI sind dann als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 gem. Anlage 12.1 LPH 5 zu vereinbaren, wenn es sich um untergeordnete Anlagen des Ingenieurbauwerks handelt. In diesem Fall sind diese Anlagen nicht den Kosten der Technischen Ausrüstung gem. Anlage 15.2, Anlagengruppe 7.2 HOAI zuzurechnen. </w:t>
            </w:r>
          </w:p>
        </w:tc>
      </w:tr>
      <w:tr w:rsidR="00902E32" w:rsidRPr="00594446" w:rsidTr="00F749CA">
        <w:trPr>
          <w:cantSplit/>
        </w:trPr>
        <w:tc>
          <w:tcPr>
            <w:tcW w:w="1809" w:type="dxa"/>
            <w:shd w:val="clear" w:color="auto" w:fill="auto"/>
          </w:tcPr>
          <w:p w:rsidR="00902E32" w:rsidRPr="00594446" w:rsidRDefault="00902E32" w:rsidP="00741BCA">
            <w:pPr>
              <w:spacing w:before="80" w:line="276" w:lineRule="auto"/>
              <w:rPr>
                <w:rFonts w:ascii="Arial" w:hAnsi="Arial" w:cs="Arial"/>
                <w:b/>
                <w:sz w:val="20"/>
                <w:szCs w:val="20"/>
              </w:rPr>
            </w:pPr>
          </w:p>
        </w:tc>
        <w:tc>
          <w:tcPr>
            <w:tcW w:w="7583" w:type="dxa"/>
            <w:gridSpan w:val="2"/>
            <w:shd w:val="clear" w:color="auto" w:fill="auto"/>
          </w:tcPr>
          <w:p w:rsidR="00902E32" w:rsidRPr="00594446" w:rsidRDefault="00902E32"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10.10</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Honorar bei Leistungsänderungen / Zeithonorar</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Leistungsänderungen ist § 10 Absatz 1 HOAI, bei Wiederholung von Grundleistungen § 10 Absatz 2 HOAI zu beachten.</w:t>
            </w:r>
          </w:p>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Bei der Vereinbarung von Zeithonoraren ist § 10 Nummer 10.3 AVB zu beachten.</w:t>
            </w:r>
          </w:p>
        </w:tc>
      </w:tr>
      <w:tr w:rsidR="0065453C" w:rsidRPr="00594446" w:rsidTr="00F749CA">
        <w:trPr>
          <w:cantSplit/>
        </w:trPr>
        <w:tc>
          <w:tcPr>
            <w:tcW w:w="1809" w:type="dxa"/>
            <w:shd w:val="clear" w:color="auto" w:fill="auto"/>
          </w:tcPr>
          <w:p w:rsidR="0065453C" w:rsidRPr="00594446" w:rsidRDefault="0065453C" w:rsidP="00741BCA">
            <w:pPr>
              <w:spacing w:before="80" w:line="276" w:lineRule="auto"/>
              <w:ind w:firstLine="549"/>
              <w:rPr>
                <w:rFonts w:ascii="Arial" w:hAnsi="Arial" w:cs="Arial"/>
                <w:b/>
                <w:sz w:val="20"/>
                <w:szCs w:val="20"/>
              </w:rPr>
            </w:pPr>
          </w:p>
        </w:tc>
        <w:tc>
          <w:tcPr>
            <w:tcW w:w="7583" w:type="dxa"/>
            <w:gridSpan w:val="2"/>
            <w:shd w:val="clear" w:color="auto" w:fill="auto"/>
          </w:tcPr>
          <w:p w:rsidR="0065453C" w:rsidRPr="00594446" w:rsidRDefault="0065453C"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10.11</w:t>
            </w:r>
          </w:p>
        </w:tc>
        <w:tc>
          <w:tcPr>
            <w:tcW w:w="7583" w:type="dxa"/>
            <w:gridSpan w:val="2"/>
            <w:shd w:val="clear" w:color="auto" w:fill="auto"/>
          </w:tcPr>
          <w:p w:rsidR="0065453C" w:rsidRPr="00594446" w:rsidRDefault="0065453C" w:rsidP="0065453C">
            <w:pPr>
              <w:spacing w:before="80" w:line="276" w:lineRule="auto"/>
              <w:jc w:val="both"/>
              <w:rPr>
                <w:rFonts w:ascii="Arial" w:hAnsi="Arial" w:cs="Arial"/>
                <w:b/>
                <w:sz w:val="20"/>
                <w:szCs w:val="20"/>
              </w:rPr>
            </w:pPr>
            <w:r w:rsidRPr="00594446">
              <w:rPr>
                <w:rFonts w:ascii="Arial" w:hAnsi="Arial" w:cs="Arial"/>
                <w:b/>
                <w:sz w:val="20"/>
                <w:szCs w:val="20"/>
              </w:rPr>
              <w:t>Sonstige / Weitere Vergütungsregelungen</w:t>
            </w:r>
          </w:p>
          <w:p w:rsidR="0065453C" w:rsidRPr="00594446" w:rsidRDefault="0065453C" w:rsidP="0065453C">
            <w:pPr>
              <w:spacing w:before="80" w:line="276" w:lineRule="auto"/>
              <w:jc w:val="both"/>
              <w:rPr>
                <w:rFonts w:ascii="Arial" w:hAnsi="Arial" w:cs="Arial"/>
                <w:sz w:val="20"/>
                <w:szCs w:val="20"/>
              </w:rPr>
            </w:pPr>
            <w:r w:rsidRPr="00594446">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741BCA" w:rsidRPr="00594446" w:rsidRDefault="003511FA" w:rsidP="00741BCA">
            <w:pPr>
              <w:spacing w:before="80" w:line="276" w:lineRule="auto"/>
              <w:jc w:val="both"/>
              <w:rPr>
                <w:rFonts w:ascii="Arial" w:hAnsi="Arial" w:cs="Arial"/>
                <w:sz w:val="20"/>
                <w:szCs w:val="20"/>
              </w:rPr>
            </w:pPr>
            <w:r w:rsidRPr="00594446">
              <w:rPr>
                <w:rFonts w:ascii="Arial" w:hAnsi="Arial" w:cs="Arial"/>
                <w:sz w:val="20"/>
                <w:szCs w:val="20"/>
              </w:rPr>
              <w:t>Wenn der Planungsaufwand für Ingenieurbauwerken mit großer Längenausdehnung, die unter gleichen baulichen Bedingungen errichtet werden, in einem Missverhältnis zum ermittelten Honorar steht,</w:t>
            </w:r>
            <w:r w:rsidR="00573792" w:rsidRPr="00594446">
              <w:rPr>
                <w:rFonts w:ascii="Arial" w:hAnsi="Arial" w:cs="Arial"/>
                <w:sz w:val="20"/>
                <w:szCs w:val="20"/>
              </w:rPr>
              <w:t xml:space="preserve"> kann dazu eine Vereinbarung getroffen und hier aufgenommen werden.</w:t>
            </w:r>
          </w:p>
        </w:tc>
      </w:tr>
      <w:tr w:rsidR="0065453C" w:rsidRPr="00594446" w:rsidTr="00F749CA">
        <w:trPr>
          <w:cantSplit/>
        </w:trPr>
        <w:tc>
          <w:tcPr>
            <w:tcW w:w="1809" w:type="dxa"/>
            <w:shd w:val="clear" w:color="auto" w:fill="auto"/>
          </w:tcPr>
          <w:p w:rsidR="0065453C" w:rsidRPr="00594446" w:rsidRDefault="0065453C" w:rsidP="00741BCA">
            <w:pPr>
              <w:spacing w:before="80" w:line="276" w:lineRule="auto"/>
              <w:ind w:firstLine="549"/>
              <w:rPr>
                <w:rFonts w:ascii="Arial" w:hAnsi="Arial" w:cs="Arial"/>
                <w:b/>
                <w:sz w:val="20"/>
                <w:szCs w:val="20"/>
              </w:rPr>
            </w:pPr>
          </w:p>
        </w:tc>
        <w:tc>
          <w:tcPr>
            <w:tcW w:w="7583" w:type="dxa"/>
            <w:gridSpan w:val="2"/>
            <w:shd w:val="clear" w:color="auto" w:fill="auto"/>
          </w:tcPr>
          <w:p w:rsidR="0065453C" w:rsidRPr="00594446" w:rsidRDefault="0065453C" w:rsidP="0065453C">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r w:rsidRPr="00594446">
              <w:rPr>
                <w:rFonts w:ascii="Arial" w:hAnsi="Arial" w:cs="Arial"/>
                <w:b/>
                <w:sz w:val="20"/>
                <w:szCs w:val="20"/>
              </w:rPr>
              <w:t>Zu 10.12</w:t>
            </w:r>
          </w:p>
        </w:tc>
        <w:tc>
          <w:tcPr>
            <w:tcW w:w="7583" w:type="dxa"/>
            <w:gridSpan w:val="2"/>
            <w:shd w:val="clear" w:color="auto" w:fill="auto"/>
          </w:tcPr>
          <w:p w:rsidR="0065453C" w:rsidRPr="00594446" w:rsidRDefault="0065453C" w:rsidP="0065453C">
            <w:pPr>
              <w:spacing w:before="80" w:line="276" w:lineRule="auto"/>
              <w:jc w:val="both"/>
              <w:rPr>
                <w:rFonts w:ascii="Arial" w:hAnsi="Arial" w:cs="Arial"/>
                <w:sz w:val="20"/>
                <w:szCs w:val="20"/>
              </w:rPr>
            </w:pPr>
            <w:r w:rsidRPr="00594446">
              <w:rPr>
                <w:rFonts w:ascii="Arial" w:hAnsi="Arial" w:cs="Arial"/>
                <w:b/>
                <w:sz w:val="20"/>
                <w:szCs w:val="20"/>
              </w:rPr>
              <w:t>Pauschalierung der Vergütung</w:t>
            </w:r>
            <w:r w:rsidRPr="00594446" w:rsidDel="0063644F">
              <w:rPr>
                <w:rFonts w:ascii="Arial" w:hAnsi="Arial" w:cs="Arial"/>
                <w:b/>
                <w:sz w:val="20"/>
                <w:szCs w:val="20"/>
              </w:rPr>
              <w:t xml:space="preserve"> </w:t>
            </w:r>
          </w:p>
          <w:p w:rsidR="0065453C" w:rsidRPr="00594446" w:rsidRDefault="0065453C" w:rsidP="0065453C">
            <w:pPr>
              <w:spacing w:before="80" w:line="276" w:lineRule="auto"/>
              <w:jc w:val="both"/>
              <w:rPr>
                <w:rFonts w:ascii="Arial" w:hAnsi="Arial" w:cs="Arial"/>
                <w:sz w:val="20"/>
                <w:szCs w:val="20"/>
              </w:rPr>
            </w:pPr>
            <w:r w:rsidRPr="00594446">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65453C" w:rsidRPr="00594446" w:rsidRDefault="0065453C" w:rsidP="0065453C">
            <w:pPr>
              <w:spacing w:before="80" w:line="276" w:lineRule="auto"/>
              <w:jc w:val="both"/>
              <w:rPr>
                <w:rFonts w:ascii="Arial" w:hAnsi="Arial" w:cs="Arial"/>
                <w:sz w:val="20"/>
                <w:szCs w:val="20"/>
              </w:rPr>
            </w:pPr>
            <w:r w:rsidRPr="00594446">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65453C" w:rsidRPr="00594446" w:rsidRDefault="0065453C" w:rsidP="0065453C">
            <w:pPr>
              <w:spacing w:before="80" w:line="276" w:lineRule="auto"/>
              <w:jc w:val="both"/>
              <w:rPr>
                <w:rFonts w:ascii="Arial" w:hAnsi="Arial" w:cs="Arial"/>
                <w:sz w:val="20"/>
                <w:szCs w:val="20"/>
              </w:rPr>
            </w:pPr>
            <w:r w:rsidRPr="00594446">
              <w:rPr>
                <w:rFonts w:ascii="Arial" w:hAnsi="Arial" w:cs="Arial"/>
                <w:sz w:val="20"/>
                <w:szCs w:val="20"/>
              </w:rPr>
              <w:t>Zusätzlich kann es notwendig sein, Regelungen für Wiederholungsleistungen zu treffen.</w:t>
            </w:r>
          </w:p>
          <w:p w:rsidR="00741BCA" w:rsidRPr="00594446" w:rsidRDefault="0065453C" w:rsidP="00741BCA">
            <w:pPr>
              <w:spacing w:before="80" w:line="276" w:lineRule="auto"/>
              <w:jc w:val="both"/>
              <w:rPr>
                <w:rFonts w:ascii="Arial" w:hAnsi="Arial" w:cs="Arial"/>
                <w:sz w:val="20"/>
                <w:szCs w:val="20"/>
              </w:rPr>
            </w:pPr>
            <w:r w:rsidRPr="00594446">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t>Zu § 11</w:t>
            </w:r>
          </w:p>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11.1</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Nebenkosten</w:t>
            </w:r>
          </w:p>
          <w:p w:rsidR="00741BCA" w:rsidRPr="00594446" w:rsidRDefault="0065453C">
            <w:pPr>
              <w:spacing w:before="80" w:line="276" w:lineRule="auto"/>
              <w:jc w:val="both"/>
              <w:rPr>
                <w:rFonts w:ascii="Arial" w:hAnsi="Arial" w:cs="Arial"/>
                <w:sz w:val="20"/>
                <w:szCs w:val="20"/>
              </w:rPr>
            </w:pPr>
            <w:r w:rsidRPr="00594446">
              <w:rPr>
                <w:rFonts w:ascii="Arial" w:hAnsi="Arial" w:cs="Arial"/>
                <w:sz w:val="20"/>
                <w:szCs w:val="20"/>
              </w:rPr>
              <w:t xml:space="preserve">Die Erstattung von Nebenkosten ist in der </w:t>
            </w:r>
            <w:r w:rsidRPr="00594446">
              <w:rPr>
                <w:rFonts w:ascii="Arial" w:hAnsi="Arial" w:cs="Arial"/>
                <w:color w:val="000000"/>
                <w:sz w:val="20"/>
                <w:szCs w:val="20"/>
              </w:rPr>
              <w:t xml:space="preserve">Anlage zu §§ 8, 10 und 11 </w:t>
            </w:r>
            <w:r w:rsidRPr="00594446">
              <w:rPr>
                <w:rFonts w:ascii="Arial" w:hAnsi="Arial" w:cs="Arial"/>
                <w:sz w:val="20"/>
                <w:szCs w:val="20"/>
              </w:rPr>
              <w:t>(Honorarangebot für Objektplanung – Ingenieurbauwerke) festzulegen. Die Vereinbarung einer Pauschale ist grundsätzlich anzustreben; die ihr zugrunde gelegten Einzelansätze sind verwaltungsintern zu dokumentieren.</w:t>
            </w:r>
            <w:r w:rsidR="00741BCA" w:rsidRPr="00594446">
              <w:rPr>
                <w:rFonts w:ascii="Arial" w:hAnsi="Arial" w:cs="Arial"/>
                <w:sz w:val="20"/>
                <w:szCs w:val="20"/>
              </w:rPr>
              <w:t xml:space="preserve"> </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b/>
                <w:color w:val="000000"/>
                <w:sz w:val="20"/>
                <w:szCs w:val="20"/>
              </w:rPr>
            </w:pPr>
            <w:r w:rsidRPr="00594446">
              <w:rPr>
                <w:rFonts w:ascii="Arial" w:hAnsi="Arial" w:cs="Arial"/>
                <w:b/>
                <w:sz w:val="20"/>
                <w:szCs w:val="20"/>
              </w:rPr>
              <w:t>Zu 11.4</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Baumaßnahmen im Ausland</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color w:val="000000"/>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Baumaßnahmen im Ausland oder, wenn ausländische Architekten/Ingenieure in der Bundesrepublik arbeiten, sind folgende, die Nebenkosten betreffende Regelungen zu vereinbaren: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color w:val="000000"/>
                <w:sz w:val="20"/>
                <w:szCs w:val="20"/>
              </w:rPr>
              <w:fldChar w:fldCharType="begin">
                <w:ffData>
                  <w:name w:val=""/>
                  <w:enabled/>
                  <w:calcOnExit w:val="0"/>
                  <w:checkBox>
                    <w:sizeAuto/>
                    <w:default w:val="0"/>
                  </w:checkBox>
                </w:ffData>
              </w:fldChar>
            </w:r>
            <w:r w:rsidRPr="00594446">
              <w:rPr>
                <w:rFonts w:ascii="Arial" w:hAnsi="Arial" w:cs="Arial"/>
                <w:b/>
                <w:color w:val="000000"/>
                <w:sz w:val="20"/>
                <w:szCs w:val="20"/>
              </w:rPr>
              <w:instrText xml:space="preserve"> FORMCHECKBOX </w:instrText>
            </w:r>
            <w:r w:rsidR="009A0876">
              <w:rPr>
                <w:rFonts w:ascii="Arial" w:hAnsi="Arial" w:cs="Arial"/>
                <w:b/>
                <w:color w:val="000000"/>
                <w:sz w:val="20"/>
                <w:szCs w:val="20"/>
              </w:rPr>
            </w:r>
            <w:r w:rsidR="009A0876">
              <w:rPr>
                <w:rFonts w:ascii="Arial" w:hAnsi="Arial" w:cs="Arial"/>
                <w:b/>
                <w:color w:val="000000"/>
                <w:sz w:val="20"/>
                <w:szCs w:val="20"/>
              </w:rPr>
              <w:fldChar w:fldCharType="separate"/>
            </w:r>
            <w:r w:rsidRPr="00594446">
              <w:rPr>
                <w:rFonts w:ascii="Arial" w:hAnsi="Arial" w:cs="Arial"/>
                <w:b/>
                <w:color w:val="000000"/>
                <w:sz w:val="20"/>
                <w:szCs w:val="20"/>
              </w:rPr>
              <w:fldChar w:fldCharType="end"/>
            </w:r>
            <w:r w:rsidRPr="00594446">
              <w:rPr>
                <w:rFonts w:ascii="Arial" w:hAnsi="Arial" w:cs="Arial"/>
                <w:b/>
                <w:color w:val="000000"/>
                <w:sz w:val="20"/>
                <w:szCs w:val="20"/>
              </w:rPr>
              <w:t xml:space="preserve"> </w:t>
            </w:r>
            <w:r w:rsidRPr="00594446">
              <w:rPr>
                <w:rFonts w:ascii="Arial" w:hAnsi="Arial" w:cs="Arial"/>
                <w:color w:val="000000"/>
                <w:sz w:val="20"/>
                <w:szCs w:val="20"/>
              </w:rPr>
              <w:t>Für eine ständige örtliche Abwesenheit außerhalb des Geschäftssitzes am ausländischen Ort des Baustellenbüros erhält der Auftragnehmer:</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color w:val="000000"/>
                <w:sz w:val="20"/>
                <w:szCs w:val="20"/>
              </w:rPr>
              <w:t>vom 1. bis 14. Aufenthaltstag Tage- und Übernachtungsgeld sowie Wegstreckenentschädigung  nach dem Bundesreisekostengesetz / Bayerischen Reisekostengesetz</w:t>
            </w:r>
          </w:p>
        </w:tc>
      </w:tr>
      <w:tr w:rsidR="00741BCA" w:rsidRPr="00594446" w:rsidTr="00E81C91">
        <w:trPr>
          <w:cantSplit/>
        </w:trPr>
        <w:tc>
          <w:tcPr>
            <w:tcW w:w="1809" w:type="dxa"/>
            <w:shd w:val="clear" w:color="auto" w:fill="auto"/>
          </w:tcPr>
          <w:p w:rsidR="00741BCA" w:rsidRPr="00594446" w:rsidRDefault="00741BCA" w:rsidP="00741BCA">
            <w:pPr>
              <w:spacing w:before="40" w:line="276" w:lineRule="auto"/>
              <w:rPr>
                <w:rFonts w:ascii="Arial" w:hAnsi="Arial" w:cs="Arial"/>
                <w:b/>
                <w:sz w:val="20"/>
                <w:szCs w:val="20"/>
              </w:rPr>
            </w:pPr>
          </w:p>
        </w:tc>
        <w:tc>
          <w:tcPr>
            <w:tcW w:w="360"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sz w:val="20"/>
                <w:szCs w:val="20"/>
              </w:rPr>
              <w:t>-</w:t>
            </w:r>
          </w:p>
        </w:tc>
        <w:tc>
          <w:tcPr>
            <w:tcW w:w="7223" w:type="dxa"/>
            <w:shd w:val="clear" w:color="auto" w:fill="auto"/>
          </w:tcPr>
          <w:p w:rsidR="00741BCA" w:rsidRPr="00594446" w:rsidRDefault="00741BCA" w:rsidP="00741BCA">
            <w:pPr>
              <w:spacing w:before="40" w:line="276" w:lineRule="auto"/>
              <w:jc w:val="both"/>
              <w:rPr>
                <w:rFonts w:ascii="Arial" w:hAnsi="Arial" w:cs="Arial"/>
                <w:sz w:val="20"/>
                <w:szCs w:val="20"/>
              </w:rPr>
            </w:pPr>
            <w:r w:rsidRPr="00594446">
              <w:rPr>
                <w:rFonts w:ascii="Arial" w:hAnsi="Arial" w:cs="Arial"/>
                <w:color w:val="000000"/>
                <w:sz w:val="20"/>
                <w:szCs w:val="20"/>
              </w:rPr>
              <w:t>ab dem 15. Aufenthaltstag Trennungsentschädigung</w:t>
            </w:r>
          </w:p>
        </w:tc>
      </w:tr>
      <w:tr w:rsidR="00741BCA" w:rsidRPr="00594446" w:rsidTr="00E81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9" w:type="dxa"/>
            <w:tcBorders>
              <w:top w:val="nil"/>
              <w:left w:val="nil"/>
              <w:bottom w:val="nil"/>
              <w:right w:val="nil"/>
            </w:tcBorders>
            <w:shd w:val="clear" w:color="auto" w:fill="auto"/>
          </w:tcPr>
          <w:p w:rsidR="00741BCA" w:rsidRPr="00594446" w:rsidRDefault="00741BCA" w:rsidP="00741BCA">
            <w:pPr>
              <w:spacing w:before="80" w:line="276" w:lineRule="auto"/>
              <w:rPr>
                <w:rFonts w:ascii="Arial" w:hAnsi="Arial" w:cs="Arial"/>
                <w:b/>
                <w:sz w:val="20"/>
                <w:szCs w:val="20"/>
              </w:rPr>
            </w:pPr>
          </w:p>
        </w:tc>
        <w:tc>
          <w:tcPr>
            <w:tcW w:w="360" w:type="dxa"/>
            <w:tcBorders>
              <w:top w:val="nil"/>
              <w:left w:val="nil"/>
              <w:bottom w:val="nil"/>
              <w:right w:val="nil"/>
            </w:tcBorders>
            <w:shd w:val="clear" w:color="auto" w:fill="auto"/>
          </w:tcPr>
          <w:p w:rsidR="00741BCA" w:rsidRPr="00594446" w:rsidRDefault="00741BCA" w:rsidP="00741BCA">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color w:val="000000"/>
                <w:sz w:val="20"/>
                <w:szCs w:val="20"/>
              </w:rPr>
              <w:fldChar w:fldCharType="begin">
                <w:ffData>
                  <w:name w:val=""/>
                  <w:enabled/>
                  <w:calcOnExit w:val="0"/>
                  <w:checkBox>
                    <w:sizeAuto/>
                    <w:default w:val="0"/>
                  </w:checkBox>
                </w:ffData>
              </w:fldChar>
            </w:r>
            <w:r w:rsidRPr="00594446">
              <w:rPr>
                <w:rFonts w:ascii="Arial" w:hAnsi="Arial" w:cs="Arial"/>
                <w:b/>
                <w:color w:val="000000"/>
                <w:sz w:val="20"/>
                <w:szCs w:val="20"/>
              </w:rPr>
              <w:instrText xml:space="preserve"> FORMCHECKBOX </w:instrText>
            </w:r>
            <w:r w:rsidR="009A0876">
              <w:rPr>
                <w:rFonts w:ascii="Arial" w:hAnsi="Arial" w:cs="Arial"/>
                <w:b/>
                <w:color w:val="000000"/>
                <w:sz w:val="20"/>
                <w:szCs w:val="20"/>
              </w:rPr>
            </w:r>
            <w:r w:rsidR="009A0876">
              <w:rPr>
                <w:rFonts w:ascii="Arial" w:hAnsi="Arial" w:cs="Arial"/>
                <w:b/>
                <w:color w:val="000000"/>
                <w:sz w:val="20"/>
                <w:szCs w:val="20"/>
              </w:rPr>
              <w:fldChar w:fldCharType="separate"/>
            </w:r>
            <w:r w:rsidRPr="00594446">
              <w:rPr>
                <w:rFonts w:ascii="Arial" w:hAnsi="Arial" w:cs="Arial"/>
                <w:b/>
                <w:color w:val="000000"/>
                <w:sz w:val="20"/>
                <w:szCs w:val="20"/>
              </w:rPr>
              <w:fldChar w:fldCharType="end"/>
            </w:r>
            <w:r w:rsidRPr="00594446">
              <w:rPr>
                <w:rFonts w:ascii="Arial" w:hAnsi="Arial" w:cs="Arial"/>
                <w:b/>
                <w:color w:val="000000"/>
                <w:sz w:val="20"/>
                <w:szCs w:val="20"/>
              </w:rPr>
              <w:t xml:space="preserve"> </w:t>
            </w:r>
            <w:r w:rsidRPr="00594446">
              <w:rPr>
                <w:rFonts w:ascii="Arial" w:hAnsi="Arial" w:cs="Arial"/>
                <w:color w:val="000000"/>
                <w:sz w:val="20"/>
                <w:szCs w:val="20"/>
              </w:rPr>
              <w:t>gemäß dem jeweils gültigen Rahmentarifvertrag des Baugewerbes (Auslösung)</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360" w:type="dxa"/>
            <w:shd w:val="clear" w:color="auto" w:fill="auto"/>
          </w:tcPr>
          <w:p w:rsidR="00741BCA" w:rsidRPr="00594446" w:rsidRDefault="00741BCA" w:rsidP="00741BCA">
            <w:pPr>
              <w:spacing w:before="80" w:line="276" w:lineRule="auto"/>
              <w:jc w:val="both"/>
              <w:rPr>
                <w:rFonts w:ascii="Arial" w:hAnsi="Arial" w:cs="Arial"/>
                <w:sz w:val="20"/>
                <w:szCs w:val="20"/>
              </w:rPr>
            </w:pPr>
          </w:p>
        </w:tc>
        <w:tc>
          <w:tcPr>
            <w:tcW w:w="7223" w:type="dxa"/>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color w:val="000000"/>
                <w:sz w:val="20"/>
                <w:szCs w:val="20"/>
              </w:rPr>
              <w:fldChar w:fldCharType="begin">
                <w:ffData>
                  <w:name w:val=""/>
                  <w:enabled/>
                  <w:calcOnExit w:val="0"/>
                  <w:checkBox>
                    <w:sizeAuto/>
                    <w:default w:val="0"/>
                  </w:checkBox>
                </w:ffData>
              </w:fldChar>
            </w:r>
            <w:r w:rsidRPr="00594446">
              <w:rPr>
                <w:rFonts w:ascii="Arial" w:hAnsi="Arial" w:cs="Arial"/>
                <w:b/>
                <w:color w:val="000000"/>
                <w:sz w:val="20"/>
                <w:szCs w:val="20"/>
              </w:rPr>
              <w:instrText xml:space="preserve"> FORMCHECKBOX </w:instrText>
            </w:r>
            <w:r w:rsidR="009A0876">
              <w:rPr>
                <w:rFonts w:ascii="Arial" w:hAnsi="Arial" w:cs="Arial"/>
                <w:b/>
                <w:color w:val="000000"/>
                <w:sz w:val="20"/>
                <w:szCs w:val="20"/>
              </w:rPr>
            </w:r>
            <w:r w:rsidR="009A0876">
              <w:rPr>
                <w:rFonts w:ascii="Arial" w:hAnsi="Arial" w:cs="Arial"/>
                <w:b/>
                <w:color w:val="000000"/>
                <w:sz w:val="20"/>
                <w:szCs w:val="20"/>
              </w:rPr>
              <w:fldChar w:fldCharType="separate"/>
            </w:r>
            <w:r w:rsidRPr="00594446">
              <w:rPr>
                <w:rFonts w:ascii="Arial" w:hAnsi="Arial" w:cs="Arial"/>
                <w:b/>
                <w:color w:val="000000"/>
                <w:sz w:val="20"/>
                <w:szCs w:val="20"/>
              </w:rPr>
              <w:fldChar w:fldCharType="end"/>
            </w:r>
            <w:r w:rsidRPr="00594446">
              <w:rPr>
                <w:rFonts w:ascii="Arial" w:hAnsi="Arial" w:cs="Arial"/>
                <w:b/>
                <w:color w:val="000000"/>
                <w:sz w:val="20"/>
                <w:szCs w:val="20"/>
              </w:rPr>
              <w:t xml:space="preserve"> </w:t>
            </w:r>
            <w:r w:rsidRPr="00594446">
              <w:rPr>
                <w:rFonts w:ascii="Arial" w:hAnsi="Arial" w:cs="Arial"/>
                <w:color w:val="000000"/>
                <w:sz w:val="20"/>
                <w:szCs w:val="20"/>
              </w:rPr>
              <w:t>gemäß Verordnung Reisekostenentschädigung bei Auslandsreisen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color w:val="000000"/>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color w:val="000000"/>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color w:val="000000"/>
                <w:sz w:val="20"/>
                <w:szCs w:val="20"/>
              </w:rPr>
            </w:pPr>
            <w:r w:rsidRPr="00594446">
              <w:rPr>
                <w:rFonts w:ascii="Arial" w:hAnsi="Arial" w:cs="Arial"/>
                <w:color w:val="000000"/>
                <w:sz w:val="20"/>
                <w:szCs w:val="20"/>
              </w:rPr>
              <w:t>Soweit Übersetzungsarbeiten anfallen, ist folgender Textbaustein unter Nummer 11.4 einzufügen: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tabs>
                <w:tab w:val="left" w:pos="1800"/>
              </w:tabs>
              <w:spacing w:before="120" w:line="276" w:lineRule="auto"/>
              <w:jc w:val="both"/>
              <w:rPr>
                <w:rFonts w:ascii="Arial" w:hAnsi="Arial" w:cs="Arial"/>
                <w:color w:val="000000"/>
                <w:sz w:val="20"/>
                <w:szCs w:val="20"/>
              </w:rPr>
            </w:pPr>
            <w:r w:rsidRPr="00594446">
              <w:rPr>
                <w:rFonts w:ascii="Arial" w:hAnsi="Arial" w:cs="Arial"/>
                <w:b/>
                <w:color w:val="000000"/>
                <w:sz w:val="20"/>
                <w:szCs w:val="20"/>
              </w:rPr>
              <w:fldChar w:fldCharType="begin">
                <w:ffData>
                  <w:name w:val=""/>
                  <w:enabled/>
                  <w:calcOnExit w:val="0"/>
                  <w:checkBox>
                    <w:sizeAuto/>
                    <w:default w:val="0"/>
                  </w:checkBox>
                </w:ffData>
              </w:fldChar>
            </w:r>
            <w:r w:rsidRPr="00594446">
              <w:rPr>
                <w:rFonts w:ascii="Arial" w:hAnsi="Arial" w:cs="Arial"/>
                <w:b/>
                <w:color w:val="000000"/>
                <w:sz w:val="20"/>
                <w:szCs w:val="20"/>
              </w:rPr>
              <w:instrText xml:space="preserve"> FORMCHECKBOX </w:instrText>
            </w:r>
            <w:r w:rsidR="009A0876">
              <w:rPr>
                <w:rFonts w:ascii="Arial" w:hAnsi="Arial" w:cs="Arial"/>
                <w:b/>
                <w:color w:val="000000"/>
                <w:sz w:val="20"/>
                <w:szCs w:val="20"/>
              </w:rPr>
            </w:r>
            <w:r w:rsidR="009A0876">
              <w:rPr>
                <w:rFonts w:ascii="Arial" w:hAnsi="Arial" w:cs="Arial"/>
                <w:b/>
                <w:color w:val="000000"/>
                <w:sz w:val="20"/>
                <w:szCs w:val="20"/>
              </w:rPr>
              <w:fldChar w:fldCharType="separate"/>
            </w:r>
            <w:r w:rsidRPr="00594446">
              <w:rPr>
                <w:rFonts w:ascii="Arial" w:hAnsi="Arial" w:cs="Arial"/>
                <w:b/>
                <w:color w:val="000000"/>
                <w:sz w:val="20"/>
                <w:szCs w:val="20"/>
              </w:rPr>
              <w:fldChar w:fldCharType="end"/>
            </w:r>
            <w:r w:rsidRPr="00594446">
              <w:rPr>
                <w:rFonts w:ascii="Arial" w:hAnsi="Arial" w:cs="Arial"/>
                <w:b/>
                <w:color w:val="000000"/>
                <w:sz w:val="20"/>
                <w:szCs w:val="20"/>
              </w:rPr>
              <w:t xml:space="preserve"> </w:t>
            </w:r>
            <w:r w:rsidRPr="00594446">
              <w:rPr>
                <w:rFonts w:ascii="Arial" w:hAnsi="Arial" w:cs="Arial"/>
                <w:color w:val="000000"/>
                <w:sz w:val="20"/>
                <w:szCs w:val="20"/>
              </w:rPr>
              <w:t>Für Übersetzungsarbeiten in und aus dem:</w:t>
            </w:r>
          </w:p>
          <w:p w:rsidR="00741BCA" w:rsidRPr="00594446" w:rsidRDefault="00741BCA" w:rsidP="00741BCA">
            <w:pPr>
              <w:tabs>
                <w:tab w:val="left" w:pos="317"/>
              </w:tabs>
              <w:spacing w:line="276" w:lineRule="auto"/>
              <w:jc w:val="both"/>
              <w:rPr>
                <w:rFonts w:ascii="Arial" w:hAnsi="Arial" w:cs="Arial"/>
                <w:color w:val="000000"/>
                <w:sz w:val="20"/>
                <w:szCs w:val="20"/>
              </w:rPr>
            </w:pPr>
            <w:r w:rsidRPr="00594446">
              <w:rPr>
                <w:rFonts w:ascii="Arial" w:hAnsi="Arial" w:cs="Arial"/>
                <w:color w:val="000000"/>
                <w:sz w:val="20"/>
                <w:szCs w:val="20"/>
              </w:rPr>
              <w:tab/>
            </w:r>
            <w:r w:rsidRPr="00594446">
              <w:rPr>
                <w:rFonts w:ascii="Arial" w:hAnsi="Arial" w:cs="Arial"/>
                <w:color w:val="000000"/>
                <w:sz w:val="20"/>
                <w:szCs w:val="20"/>
              </w:rPr>
              <w:fldChar w:fldCharType="begin">
                <w:ffData>
                  <w:name w:val=""/>
                  <w:enabled/>
                  <w:calcOnExit w:val="0"/>
                  <w:checkBox>
                    <w:sizeAuto/>
                    <w:default w:val="0"/>
                  </w:checkBox>
                </w:ffData>
              </w:fldChar>
            </w:r>
            <w:r w:rsidRPr="00594446">
              <w:rPr>
                <w:rFonts w:ascii="Arial" w:hAnsi="Arial" w:cs="Arial"/>
                <w:color w:val="000000"/>
                <w:sz w:val="20"/>
                <w:szCs w:val="20"/>
              </w:rPr>
              <w:instrText xml:space="preserve"> FORMCHECKBOX </w:instrText>
            </w:r>
            <w:r w:rsidR="009A0876">
              <w:rPr>
                <w:rFonts w:ascii="Arial" w:hAnsi="Arial" w:cs="Arial"/>
                <w:color w:val="000000"/>
                <w:sz w:val="20"/>
                <w:szCs w:val="20"/>
              </w:rPr>
            </w:r>
            <w:r w:rsidR="009A0876">
              <w:rPr>
                <w:rFonts w:ascii="Arial" w:hAnsi="Arial" w:cs="Arial"/>
                <w:color w:val="000000"/>
                <w:sz w:val="20"/>
                <w:szCs w:val="20"/>
              </w:rPr>
              <w:fldChar w:fldCharType="separate"/>
            </w:r>
            <w:r w:rsidRPr="00594446">
              <w:rPr>
                <w:rFonts w:ascii="Arial" w:hAnsi="Arial" w:cs="Arial"/>
                <w:color w:val="000000"/>
                <w:sz w:val="20"/>
                <w:szCs w:val="20"/>
              </w:rPr>
              <w:fldChar w:fldCharType="end"/>
            </w:r>
            <w:r w:rsidRPr="00594446">
              <w:rPr>
                <w:rFonts w:ascii="Arial" w:hAnsi="Arial" w:cs="Arial"/>
                <w:color w:val="000000"/>
                <w:sz w:val="20"/>
                <w:szCs w:val="20"/>
              </w:rPr>
              <w:t xml:space="preserve"> Englischen</w:t>
            </w:r>
          </w:p>
          <w:p w:rsidR="00741BCA" w:rsidRPr="00594446" w:rsidRDefault="00741BCA" w:rsidP="00741BCA">
            <w:pPr>
              <w:tabs>
                <w:tab w:val="left" w:pos="317"/>
              </w:tabs>
              <w:spacing w:line="276" w:lineRule="auto"/>
              <w:jc w:val="both"/>
              <w:rPr>
                <w:rFonts w:ascii="Arial" w:hAnsi="Arial" w:cs="Arial"/>
                <w:color w:val="000000"/>
                <w:sz w:val="20"/>
                <w:szCs w:val="20"/>
              </w:rPr>
            </w:pPr>
            <w:r w:rsidRPr="00594446">
              <w:rPr>
                <w:rFonts w:ascii="Arial" w:hAnsi="Arial" w:cs="Arial"/>
                <w:color w:val="000000"/>
                <w:sz w:val="20"/>
                <w:szCs w:val="20"/>
              </w:rPr>
              <w:tab/>
            </w:r>
            <w:r w:rsidRPr="00594446">
              <w:rPr>
                <w:rFonts w:ascii="Arial" w:hAnsi="Arial" w:cs="Arial"/>
                <w:color w:val="000000"/>
                <w:sz w:val="20"/>
                <w:szCs w:val="20"/>
              </w:rPr>
              <w:fldChar w:fldCharType="begin">
                <w:ffData>
                  <w:name w:val=""/>
                  <w:enabled/>
                  <w:calcOnExit w:val="0"/>
                  <w:checkBox>
                    <w:sizeAuto/>
                    <w:default w:val="0"/>
                  </w:checkBox>
                </w:ffData>
              </w:fldChar>
            </w:r>
            <w:r w:rsidRPr="00594446">
              <w:rPr>
                <w:rFonts w:ascii="Arial" w:hAnsi="Arial" w:cs="Arial"/>
                <w:color w:val="000000"/>
                <w:sz w:val="20"/>
                <w:szCs w:val="20"/>
              </w:rPr>
              <w:instrText xml:space="preserve"> FORMCHECKBOX </w:instrText>
            </w:r>
            <w:r w:rsidR="009A0876">
              <w:rPr>
                <w:rFonts w:ascii="Arial" w:hAnsi="Arial" w:cs="Arial"/>
                <w:color w:val="000000"/>
                <w:sz w:val="20"/>
                <w:szCs w:val="20"/>
              </w:rPr>
            </w:r>
            <w:r w:rsidR="009A0876">
              <w:rPr>
                <w:rFonts w:ascii="Arial" w:hAnsi="Arial" w:cs="Arial"/>
                <w:color w:val="000000"/>
                <w:sz w:val="20"/>
                <w:szCs w:val="20"/>
              </w:rPr>
              <w:fldChar w:fldCharType="separate"/>
            </w:r>
            <w:r w:rsidRPr="00594446">
              <w:rPr>
                <w:rFonts w:ascii="Arial" w:hAnsi="Arial" w:cs="Arial"/>
                <w:color w:val="000000"/>
                <w:sz w:val="20"/>
                <w:szCs w:val="20"/>
              </w:rPr>
              <w:fldChar w:fldCharType="end"/>
            </w:r>
            <w:r w:rsidRPr="00594446">
              <w:rPr>
                <w:rFonts w:ascii="Arial" w:hAnsi="Arial" w:cs="Arial"/>
                <w:color w:val="000000"/>
                <w:sz w:val="20"/>
                <w:szCs w:val="20"/>
              </w:rPr>
              <w:t xml:space="preserve"> Französischen</w:t>
            </w:r>
          </w:p>
          <w:p w:rsidR="00741BCA" w:rsidRPr="00594446" w:rsidRDefault="00741BCA" w:rsidP="00741BCA">
            <w:pPr>
              <w:tabs>
                <w:tab w:val="left" w:pos="317"/>
              </w:tabs>
              <w:spacing w:line="276" w:lineRule="auto"/>
              <w:jc w:val="both"/>
              <w:rPr>
                <w:rFonts w:ascii="Arial" w:hAnsi="Arial" w:cs="Arial"/>
                <w:color w:val="000000"/>
                <w:sz w:val="20"/>
                <w:szCs w:val="20"/>
              </w:rPr>
            </w:pPr>
            <w:r w:rsidRPr="00594446">
              <w:rPr>
                <w:rFonts w:ascii="Arial" w:hAnsi="Arial" w:cs="Arial"/>
                <w:color w:val="000000"/>
                <w:sz w:val="20"/>
                <w:szCs w:val="20"/>
              </w:rPr>
              <w:tab/>
            </w:r>
            <w:r w:rsidRPr="00594446">
              <w:rPr>
                <w:rFonts w:ascii="Arial" w:hAnsi="Arial" w:cs="Arial"/>
                <w:color w:val="000000"/>
                <w:sz w:val="20"/>
                <w:szCs w:val="20"/>
              </w:rPr>
              <w:fldChar w:fldCharType="begin">
                <w:ffData>
                  <w:name w:val=""/>
                  <w:enabled/>
                  <w:calcOnExit w:val="0"/>
                  <w:checkBox>
                    <w:sizeAuto/>
                    <w:default w:val="0"/>
                  </w:checkBox>
                </w:ffData>
              </w:fldChar>
            </w:r>
            <w:r w:rsidRPr="00594446">
              <w:rPr>
                <w:rFonts w:ascii="Arial" w:hAnsi="Arial" w:cs="Arial"/>
                <w:color w:val="000000"/>
                <w:sz w:val="20"/>
                <w:szCs w:val="20"/>
              </w:rPr>
              <w:instrText xml:space="preserve"> FORMCHECKBOX </w:instrText>
            </w:r>
            <w:r w:rsidR="009A0876">
              <w:rPr>
                <w:rFonts w:ascii="Arial" w:hAnsi="Arial" w:cs="Arial"/>
                <w:color w:val="000000"/>
                <w:sz w:val="20"/>
                <w:szCs w:val="20"/>
              </w:rPr>
            </w:r>
            <w:r w:rsidR="009A0876">
              <w:rPr>
                <w:rFonts w:ascii="Arial" w:hAnsi="Arial" w:cs="Arial"/>
                <w:color w:val="000000"/>
                <w:sz w:val="20"/>
                <w:szCs w:val="20"/>
              </w:rPr>
              <w:fldChar w:fldCharType="separate"/>
            </w:r>
            <w:r w:rsidRPr="00594446">
              <w:rPr>
                <w:rFonts w:ascii="Arial" w:hAnsi="Arial" w:cs="Arial"/>
                <w:color w:val="000000"/>
                <w:sz w:val="20"/>
                <w:szCs w:val="20"/>
              </w:rPr>
              <w:fldChar w:fldCharType="end"/>
            </w:r>
            <w:r w:rsidRPr="00594446">
              <w:rPr>
                <w:rFonts w:ascii="Arial" w:hAnsi="Arial" w:cs="Arial"/>
                <w:color w:val="000000"/>
                <w:sz w:val="20"/>
                <w:szCs w:val="20"/>
              </w:rPr>
              <w:t xml:space="preserve"> Spanischen</w:t>
            </w:r>
          </w:p>
          <w:p w:rsidR="00741BCA" w:rsidRPr="00594446" w:rsidRDefault="00741BCA" w:rsidP="00741BCA">
            <w:pPr>
              <w:tabs>
                <w:tab w:val="left" w:pos="317"/>
              </w:tabs>
              <w:spacing w:line="276" w:lineRule="auto"/>
              <w:jc w:val="both"/>
              <w:rPr>
                <w:rFonts w:ascii="Arial" w:hAnsi="Arial" w:cs="Arial"/>
                <w:color w:val="000000"/>
                <w:sz w:val="20"/>
                <w:szCs w:val="20"/>
              </w:rPr>
            </w:pPr>
            <w:r w:rsidRPr="00594446">
              <w:rPr>
                <w:rFonts w:ascii="Arial" w:hAnsi="Arial" w:cs="Arial"/>
                <w:color w:val="000000"/>
                <w:sz w:val="20"/>
                <w:szCs w:val="20"/>
              </w:rPr>
              <w:tab/>
            </w:r>
            <w:r w:rsidRPr="00594446">
              <w:rPr>
                <w:rFonts w:ascii="Arial" w:hAnsi="Arial" w:cs="Arial"/>
                <w:color w:val="000000"/>
                <w:sz w:val="20"/>
                <w:szCs w:val="20"/>
              </w:rPr>
              <w:fldChar w:fldCharType="begin">
                <w:ffData>
                  <w:name w:val=""/>
                  <w:enabled/>
                  <w:calcOnExit w:val="0"/>
                  <w:checkBox>
                    <w:sizeAuto/>
                    <w:default w:val="0"/>
                  </w:checkBox>
                </w:ffData>
              </w:fldChar>
            </w:r>
            <w:r w:rsidRPr="00594446">
              <w:rPr>
                <w:rFonts w:ascii="Arial" w:hAnsi="Arial" w:cs="Arial"/>
                <w:color w:val="000000"/>
                <w:sz w:val="20"/>
                <w:szCs w:val="20"/>
              </w:rPr>
              <w:instrText xml:space="preserve"> FORMCHECKBOX </w:instrText>
            </w:r>
            <w:r w:rsidR="009A0876">
              <w:rPr>
                <w:rFonts w:ascii="Arial" w:hAnsi="Arial" w:cs="Arial"/>
                <w:color w:val="000000"/>
                <w:sz w:val="20"/>
                <w:szCs w:val="20"/>
              </w:rPr>
            </w:r>
            <w:r w:rsidR="009A0876">
              <w:rPr>
                <w:rFonts w:ascii="Arial" w:hAnsi="Arial" w:cs="Arial"/>
                <w:color w:val="000000"/>
                <w:sz w:val="20"/>
                <w:szCs w:val="20"/>
              </w:rPr>
              <w:fldChar w:fldCharType="separate"/>
            </w:r>
            <w:r w:rsidRPr="00594446">
              <w:rPr>
                <w:rFonts w:ascii="Arial" w:hAnsi="Arial" w:cs="Arial"/>
                <w:color w:val="000000"/>
                <w:sz w:val="20"/>
                <w:szCs w:val="20"/>
              </w:rPr>
              <w:fldChar w:fldCharType="end"/>
            </w:r>
            <w:r w:rsidRPr="00594446">
              <w:rPr>
                <w:rFonts w:ascii="Arial" w:hAnsi="Arial" w:cs="Arial"/>
                <w:color w:val="000000"/>
                <w:sz w:val="20"/>
                <w:szCs w:val="20"/>
              </w:rPr>
              <w:t xml:space="preserve"> </w:t>
            </w:r>
            <w:bookmarkStart w:id="1" w:name="Text212"/>
            <w:r w:rsidRPr="00594446">
              <w:rPr>
                <w:rFonts w:ascii="Arial" w:hAnsi="Arial" w:cs="Arial"/>
                <w:color w:val="000000"/>
                <w:sz w:val="20"/>
                <w:szCs w:val="20"/>
              </w:rPr>
              <w:fldChar w:fldCharType="begin">
                <w:ffData>
                  <w:name w:val="Text212"/>
                  <w:enabled/>
                  <w:calcOnExit w:val="0"/>
                  <w:textInput/>
                </w:ffData>
              </w:fldChar>
            </w:r>
            <w:r w:rsidRPr="00594446">
              <w:rPr>
                <w:rFonts w:ascii="Arial" w:hAnsi="Arial" w:cs="Arial"/>
                <w:color w:val="000000"/>
                <w:sz w:val="20"/>
                <w:szCs w:val="20"/>
              </w:rPr>
              <w:instrText xml:space="preserve"> FORMTEXT </w:instrText>
            </w:r>
            <w:r w:rsidRPr="00594446">
              <w:rPr>
                <w:rFonts w:ascii="Arial" w:hAnsi="Arial" w:cs="Arial"/>
                <w:color w:val="000000"/>
                <w:sz w:val="20"/>
                <w:szCs w:val="20"/>
              </w:rPr>
            </w:r>
            <w:r w:rsidRPr="00594446">
              <w:rPr>
                <w:rFonts w:ascii="Arial" w:hAnsi="Arial" w:cs="Arial"/>
                <w:color w:val="000000"/>
                <w:sz w:val="20"/>
                <w:szCs w:val="20"/>
              </w:rPr>
              <w:fldChar w:fldCharType="separate"/>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color w:val="000000"/>
                <w:sz w:val="20"/>
                <w:szCs w:val="20"/>
              </w:rPr>
              <w:fldChar w:fldCharType="end"/>
            </w:r>
            <w:bookmarkEnd w:id="1"/>
          </w:p>
          <w:p w:rsidR="00741BCA" w:rsidRPr="00594446" w:rsidRDefault="00741BCA" w:rsidP="00741BCA">
            <w:pPr>
              <w:tabs>
                <w:tab w:val="left" w:pos="317"/>
              </w:tabs>
              <w:spacing w:line="276" w:lineRule="auto"/>
              <w:jc w:val="both"/>
              <w:rPr>
                <w:rFonts w:ascii="Arial" w:hAnsi="Arial" w:cs="Arial"/>
                <w:color w:val="000000"/>
                <w:sz w:val="20"/>
                <w:szCs w:val="20"/>
              </w:rPr>
            </w:pPr>
            <w:r w:rsidRPr="00594446">
              <w:rPr>
                <w:rFonts w:ascii="Arial" w:hAnsi="Arial" w:cs="Arial"/>
                <w:color w:val="000000"/>
                <w:sz w:val="20"/>
                <w:szCs w:val="20"/>
              </w:rPr>
              <w:tab/>
            </w:r>
            <w:r w:rsidRPr="00594446">
              <w:rPr>
                <w:rFonts w:ascii="Arial" w:hAnsi="Arial" w:cs="Arial"/>
                <w:color w:val="000000"/>
                <w:sz w:val="20"/>
                <w:szCs w:val="20"/>
              </w:rPr>
              <w:fldChar w:fldCharType="begin">
                <w:ffData>
                  <w:name w:val=""/>
                  <w:enabled/>
                  <w:calcOnExit w:val="0"/>
                  <w:checkBox>
                    <w:sizeAuto/>
                    <w:default w:val="0"/>
                  </w:checkBox>
                </w:ffData>
              </w:fldChar>
            </w:r>
            <w:r w:rsidRPr="00594446">
              <w:rPr>
                <w:rFonts w:ascii="Arial" w:hAnsi="Arial" w:cs="Arial"/>
                <w:color w:val="000000"/>
                <w:sz w:val="20"/>
                <w:szCs w:val="20"/>
              </w:rPr>
              <w:instrText xml:space="preserve"> FORMCHECKBOX </w:instrText>
            </w:r>
            <w:r w:rsidR="009A0876">
              <w:rPr>
                <w:rFonts w:ascii="Arial" w:hAnsi="Arial" w:cs="Arial"/>
                <w:color w:val="000000"/>
                <w:sz w:val="20"/>
                <w:szCs w:val="20"/>
              </w:rPr>
            </w:r>
            <w:r w:rsidR="009A0876">
              <w:rPr>
                <w:rFonts w:ascii="Arial" w:hAnsi="Arial" w:cs="Arial"/>
                <w:color w:val="000000"/>
                <w:sz w:val="20"/>
                <w:szCs w:val="20"/>
              </w:rPr>
              <w:fldChar w:fldCharType="separate"/>
            </w:r>
            <w:r w:rsidRPr="00594446">
              <w:rPr>
                <w:rFonts w:ascii="Arial" w:hAnsi="Arial" w:cs="Arial"/>
                <w:color w:val="000000"/>
                <w:sz w:val="20"/>
                <w:szCs w:val="20"/>
              </w:rPr>
              <w:fldChar w:fldCharType="end"/>
            </w:r>
            <w:r w:rsidRPr="00594446">
              <w:rPr>
                <w:rFonts w:ascii="Arial" w:hAnsi="Arial" w:cs="Arial"/>
                <w:color w:val="000000"/>
                <w:sz w:val="20"/>
                <w:szCs w:val="20"/>
              </w:rPr>
              <w:t xml:space="preserve"> </w:t>
            </w:r>
            <w:r w:rsidRPr="00594446">
              <w:rPr>
                <w:rFonts w:ascii="Arial" w:hAnsi="Arial" w:cs="Arial"/>
                <w:color w:val="000000"/>
                <w:sz w:val="20"/>
                <w:szCs w:val="20"/>
              </w:rPr>
              <w:fldChar w:fldCharType="begin">
                <w:ffData>
                  <w:name w:val="Text212"/>
                  <w:enabled/>
                  <w:calcOnExit w:val="0"/>
                  <w:textInput/>
                </w:ffData>
              </w:fldChar>
            </w:r>
            <w:r w:rsidRPr="00594446">
              <w:rPr>
                <w:rFonts w:ascii="Arial" w:hAnsi="Arial" w:cs="Arial"/>
                <w:color w:val="000000"/>
                <w:sz w:val="20"/>
                <w:szCs w:val="20"/>
              </w:rPr>
              <w:instrText xml:space="preserve"> FORMTEXT </w:instrText>
            </w:r>
            <w:r w:rsidRPr="00594446">
              <w:rPr>
                <w:rFonts w:ascii="Arial" w:hAnsi="Arial" w:cs="Arial"/>
                <w:color w:val="000000"/>
                <w:sz w:val="20"/>
                <w:szCs w:val="20"/>
              </w:rPr>
            </w:r>
            <w:r w:rsidRPr="00594446">
              <w:rPr>
                <w:rFonts w:ascii="Arial" w:hAnsi="Arial" w:cs="Arial"/>
                <w:color w:val="000000"/>
                <w:sz w:val="20"/>
                <w:szCs w:val="20"/>
              </w:rPr>
              <w:fldChar w:fldCharType="separate"/>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color w:val="000000"/>
                <w:sz w:val="20"/>
                <w:szCs w:val="20"/>
              </w:rPr>
              <w:fldChar w:fldCharType="end"/>
            </w:r>
          </w:p>
          <w:p w:rsidR="00741BCA" w:rsidRPr="00594446" w:rsidRDefault="00741BCA" w:rsidP="00741BCA">
            <w:pPr>
              <w:spacing w:line="276" w:lineRule="auto"/>
              <w:jc w:val="both"/>
              <w:rPr>
                <w:rFonts w:ascii="Arial" w:hAnsi="Arial" w:cs="Arial"/>
                <w:color w:val="000000"/>
                <w:sz w:val="20"/>
                <w:szCs w:val="20"/>
              </w:rPr>
            </w:pPr>
            <w:r w:rsidRPr="00594446">
              <w:rPr>
                <w:rFonts w:ascii="Arial" w:hAnsi="Arial" w:cs="Arial"/>
                <w:color w:val="000000"/>
                <w:sz w:val="20"/>
                <w:szCs w:val="20"/>
              </w:rPr>
              <w:t xml:space="preserve">wird ein Verrechnungssatz vereinbart von </w:t>
            </w:r>
            <w:r w:rsidRPr="00594446">
              <w:rPr>
                <w:rFonts w:ascii="Arial" w:hAnsi="Arial" w:cs="Arial"/>
                <w:color w:val="000000"/>
                <w:sz w:val="20"/>
                <w:szCs w:val="20"/>
              </w:rPr>
              <w:fldChar w:fldCharType="begin">
                <w:ffData>
                  <w:name w:val="Text212"/>
                  <w:enabled/>
                  <w:calcOnExit w:val="0"/>
                  <w:textInput/>
                </w:ffData>
              </w:fldChar>
            </w:r>
            <w:r w:rsidRPr="00594446">
              <w:rPr>
                <w:rFonts w:ascii="Arial" w:hAnsi="Arial" w:cs="Arial"/>
                <w:color w:val="000000"/>
                <w:sz w:val="20"/>
                <w:szCs w:val="20"/>
              </w:rPr>
              <w:instrText xml:space="preserve"> FORMTEXT </w:instrText>
            </w:r>
            <w:r w:rsidRPr="00594446">
              <w:rPr>
                <w:rFonts w:ascii="Arial" w:hAnsi="Arial" w:cs="Arial"/>
                <w:color w:val="000000"/>
                <w:sz w:val="20"/>
                <w:szCs w:val="20"/>
              </w:rPr>
            </w:r>
            <w:r w:rsidRPr="00594446">
              <w:rPr>
                <w:rFonts w:ascii="Arial" w:hAnsi="Arial" w:cs="Arial"/>
                <w:color w:val="000000"/>
                <w:sz w:val="20"/>
                <w:szCs w:val="20"/>
              </w:rPr>
              <w:fldChar w:fldCharType="separate"/>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color w:val="000000"/>
                <w:sz w:val="20"/>
                <w:szCs w:val="20"/>
              </w:rPr>
              <w:fldChar w:fldCharType="end"/>
            </w:r>
            <w:r w:rsidRPr="00594446">
              <w:rPr>
                <w:rFonts w:ascii="Arial" w:hAnsi="Arial" w:cs="Arial"/>
                <w:color w:val="000000"/>
                <w:sz w:val="20"/>
                <w:szCs w:val="20"/>
              </w:rPr>
              <w:t xml:space="preserve"> Euro/Seite und </w:t>
            </w:r>
            <w:r w:rsidRPr="00594446">
              <w:rPr>
                <w:rFonts w:ascii="Arial" w:hAnsi="Arial" w:cs="Arial"/>
                <w:color w:val="000000"/>
                <w:sz w:val="20"/>
                <w:szCs w:val="20"/>
              </w:rPr>
              <w:fldChar w:fldCharType="begin">
                <w:ffData>
                  <w:name w:val="Text212"/>
                  <w:enabled/>
                  <w:calcOnExit w:val="0"/>
                  <w:textInput/>
                </w:ffData>
              </w:fldChar>
            </w:r>
            <w:r w:rsidRPr="00594446">
              <w:rPr>
                <w:rFonts w:ascii="Arial" w:hAnsi="Arial" w:cs="Arial"/>
                <w:color w:val="000000"/>
                <w:sz w:val="20"/>
                <w:szCs w:val="20"/>
              </w:rPr>
              <w:instrText xml:space="preserve"> FORMTEXT </w:instrText>
            </w:r>
            <w:r w:rsidRPr="00594446">
              <w:rPr>
                <w:rFonts w:ascii="Arial" w:hAnsi="Arial" w:cs="Arial"/>
                <w:color w:val="000000"/>
                <w:sz w:val="20"/>
                <w:szCs w:val="20"/>
              </w:rPr>
            </w:r>
            <w:r w:rsidRPr="00594446">
              <w:rPr>
                <w:rFonts w:ascii="Arial" w:hAnsi="Arial" w:cs="Arial"/>
                <w:color w:val="000000"/>
                <w:sz w:val="20"/>
                <w:szCs w:val="20"/>
              </w:rPr>
              <w:fldChar w:fldCharType="separate"/>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noProof/>
                <w:color w:val="000000"/>
                <w:sz w:val="20"/>
                <w:szCs w:val="20"/>
              </w:rPr>
              <w:t> </w:t>
            </w:r>
            <w:r w:rsidRPr="00594446">
              <w:rPr>
                <w:rFonts w:ascii="Arial" w:hAnsi="Arial" w:cs="Arial"/>
                <w:color w:val="000000"/>
                <w:sz w:val="20"/>
                <w:szCs w:val="20"/>
              </w:rPr>
              <w:fldChar w:fldCharType="end"/>
            </w:r>
            <w:r w:rsidRPr="00594446">
              <w:rPr>
                <w:rFonts w:ascii="Arial" w:hAnsi="Arial" w:cs="Arial"/>
                <w:color w:val="000000"/>
                <w:sz w:val="20"/>
                <w:szCs w:val="20"/>
              </w:rPr>
              <w:t xml:space="preserve"> Euro/Plan.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tabs>
                <w:tab w:val="left" w:pos="1800"/>
              </w:tabs>
              <w:spacing w:before="120" w:line="276" w:lineRule="auto"/>
              <w:jc w:val="both"/>
              <w:rPr>
                <w:rFonts w:ascii="Arial" w:hAnsi="Arial" w:cs="Arial"/>
                <w:b/>
                <w:color w:val="000000"/>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sz w:val="20"/>
                <w:szCs w:val="20"/>
              </w:rPr>
            </w:pPr>
            <w:r w:rsidRPr="00594446">
              <w:rPr>
                <w:rFonts w:ascii="Arial" w:hAnsi="Arial" w:cs="Arial"/>
                <w:b/>
                <w:sz w:val="20"/>
                <w:szCs w:val="20"/>
              </w:rPr>
              <w:t>Zu § 13</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b/>
                <w:sz w:val="20"/>
                <w:szCs w:val="20"/>
              </w:rPr>
              <w:t>Haftpflichtversicherung</w:t>
            </w:r>
          </w:p>
          <w:p w:rsidR="00741BCA" w:rsidRDefault="00741BCA" w:rsidP="00741BCA">
            <w:pPr>
              <w:spacing w:before="80" w:line="276" w:lineRule="auto"/>
              <w:jc w:val="both"/>
              <w:rPr>
                <w:rFonts w:ascii="Arial" w:hAnsi="Arial" w:cs="Arial"/>
                <w:sz w:val="20"/>
                <w:szCs w:val="20"/>
              </w:rPr>
            </w:pPr>
            <w:r w:rsidRPr="00594446">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D714F3" w:rsidRPr="00594446" w:rsidRDefault="00D714F3"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741BCA" w:rsidRPr="00594446" w:rsidTr="009729BF">
              <w:tc>
                <w:tcPr>
                  <w:tcW w:w="3605" w:type="dxa"/>
                </w:tcPr>
                <w:p w:rsidR="00741BCA" w:rsidRPr="00594446" w:rsidRDefault="00741BCA" w:rsidP="00741BCA">
                  <w:pPr>
                    <w:spacing w:before="80" w:line="276" w:lineRule="auto"/>
                    <w:jc w:val="center"/>
                    <w:rPr>
                      <w:rFonts w:ascii="Arial" w:hAnsi="Arial" w:cs="Arial"/>
                      <w:b/>
                      <w:sz w:val="20"/>
                      <w:szCs w:val="20"/>
                    </w:rPr>
                  </w:pPr>
                  <w:r w:rsidRPr="00594446">
                    <w:rPr>
                      <w:rFonts w:ascii="Arial" w:hAnsi="Arial" w:cs="Arial"/>
                      <w:sz w:val="20"/>
                      <w:szCs w:val="20"/>
                    </w:rPr>
                    <w:t>von der Bauverwaltung geschätzte Baukosten in Euro</w:t>
                  </w:r>
                </w:p>
              </w:tc>
              <w:tc>
                <w:tcPr>
                  <w:tcW w:w="3606" w:type="dxa"/>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Deckungssumme für Personenschäden in Euro</w:t>
                  </w:r>
                </w:p>
              </w:tc>
            </w:tr>
            <w:tr w:rsidR="00741BCA" w:rsidRPr="00594446" w:rsidTr="009729BF">
              <w:tc>
                <w:tcPr>
                  <w:tcW w:w="3605"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bis 4.000.000</w:t>
                  </w:r>
                </w:p>
              </w:tc>
              <w:tc>
                <w:tcPr>
                  <w:tcW w:w="3606"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1.500.000</w:t>
                  </w:r>
                </w:p>
              </w:tc>
            </w:tr>
            <w:tr w:rsidR="00741BCA" w:rsidRPr="00594446" w:rsidTr="009729BF">
              <w:tc>
                <w:tcPr>
                  <w:tcW w:w="3605"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bis 10.000.000</w:t>
                  </w:r>
                </w:p>
              </w:tc>
              <w:tc>
                <w:tcPr>
                  <w:tcW w:w="3606"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2.000.000</w:t>
                  </w:r>
                </w:p>
              </w:tc>
            </w:tr>
            <w:tr w:rsidR="00741BCA" w:rsidRPr="00594446" w:rsidTr="009729BF">
              <w:tc>
                <w:tcPr>
                  <w:tcW w:w="3605"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über 10.000.000</w:t>
                  </w:r>
                </w:p>
              </w:tc>
              <w:tc>
                <w:tcPr>
                  <w:tcW w:w="3606" w:type="dxa"/>
                  <w:vAlign w:val="center"/>
                </w:tcPr>
                <w:p w:rsidR="00741BCA" w:rsidRPr="00594446" w:rsidRDefault="00741BCA" w:rsidP="00741BCA">
                  <w:pPr>
                    <w:spacing w:before="80" w:line="200" w:lineRule="atLeast"/>
                    <w:jc w:val="center"/>
                    <w:rPr>
                      <w:rFonts w:ascii="Arial" w:hAnsi="Arial" w:cs="Arial"/>
                      <w:sz w:val="20"/>
                      <w:szCs w:val="20"/>
                    </w:rPr>
                  </w:pPr>
                  <w:r w:rsidRPr="00594446">
                    <w:rPr>
                      <w:rFonts w:ascii="Arial" w:hAnsi="Arial" w:cs="Arial"/>
                      <w:sz w:val="20"/>
                      <w:szCs w:val="20"/>
                    </w:rPr>
                    <w:t>3.000.000</w:t>
                  </w:r>
                </w:p>
              </w:tc>
            </w:tr>
          </w:tbl>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Freiberuflich Tätige haben Haftpflichtversicherungen mit Deckungssummen für sonstige Schäden in folgender Staffelung nachzuweisen: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tbl>
            <w:tblPr>
              <w:tblStyle w:val="Tabellenraster"/>
              <w:tblW w:w="14421" w:type="dxa"/>
              <w:tblLayout w:type="fixed"/>
              <w:tblLook w:val="04A0" w:firstRow="1" w:lastRow="0" w:firstColumn="1" w:lastColumn="0" w:noHBand="0" w:noVBand="1"/>
            </w:tblPr>
            <w:tblGrid>
              <w:gridCol w:w="3605"/>
              <w:gridCol w:w="3605"/>
              <w:gridCol w:w="3605"/>
              <w:gridCol w:w="3606"/>
            </w:tblGrid>
            <w:tr w:rsidR="00741BCA" w:rsidRPr="00594446" w:rsidTr="009729BF">
              <w:tc>
                <w:tcPr>
                  <w:tcW w:w="3605" w:type="dxa"/>
                  <w:tcBorders>
                    <w:top w:val="single" w:sz="4" w:space="0" w:color="auto"/>
                    <w:left w:val="single" w:sz="4" w:space="0" w:color="auto"/>
                    <w:bottom w:val="single" w:sz="4" w:space="0" w:color="auto"/>
                    <w:right w:val="single" w:sz="4" w:space="0" w:color="auto"/>
                  </w:tcBorders>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b/>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9729BF">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250.000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b/>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9729BF">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500.000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9729BF">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1.000.000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9729BF">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2.000.000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675396">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3.000.000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r w:rsidR="00741BCA" w:rsidRPr="00594446" w:rsidTr="00675396">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741BCA" w:rsidRPr="00594446" w:rsidRDefault="00741BCA" w:rsidP="00741BCA">
                  <w:pPr>
                    <w:spacing w:before="80" w:line="276" w:lineRule="auto"/>
                    <w:jc w:val="center"/>
                    <w:rPr>
                      <w:rFonts w:ascii="Arial" w:hAnsi="Arial" w:cs="Arial"/>
                      <w:sz w:val="20"/>
                      <w:szCs w:val="20"/>
                    </w:rPr>
                  </w:pPr>
                  <w:r w:rsidRPr="00594446">
                    <w:rPr>
                      <w:rFonts w:ascii="Arial" w:hAnsi="Arial" w:cs="Arial"/>
                      <w:sz w:val="20"/>
                      <w:szCs w:val="20"/>
                    </w:rPr>
                    <w:t>5.000.000</w:t>
                  </w:r>
                </w:p>
              </w:tc>
              <w:tc>
                <w:tcPr>
                  <w:tcW w:w="3605" w:type="dxa"/>
                  <w:tcBorders>
                    <w:top w:val="nil"/>
                    <w:left w:val="single" w:sz="4" w:space="0" w:color="auto"/>
                    <w:bottom w:val="nil"/>
                    <w:right w:val="nil"/>
                  </w:tcBorders>
                </w:tcPr>
                <w:p w:rsidR="00741BCA" w:rsidRPr="00594446" w:rsidRDefault="00741BCA" w:rsidP="00741BCA">
                  <w:pPr>
                    <w:spacing w:before="80" w:line="276" w:lineRule="auto"/>
                    <w:jc w:val="both"/>
                    <w:rPr>
                      <w:rFonts w:ascii="Arial" w:hAnsi="Arial" w:cs="Arial"/>
                      <w:sz w:val="20"/>
                      <w:szCs w:val="20"/>
                    </w:rPr>
                  </w:pPr>
                </w:p>
              </w:tc>
              <w:tc>
                <w:tcPr>
                  <w:tcW w:w="3606" w:type="dxa"/>
                  <w:tcBorders>
                    <w:left w:val="nil"/>
                  </w:tcBorders>
                </w:tcPr>
                <w:p w:rsidR="00741BCA" w:rsidRPr="00594446" w:rsidRDefault="00741BCA" w:rsidP="00741BCA">
                  <w:pPr>
                    <w:spacing w:before="80" w:line="276" w:lineRule="auto"/>
                    <w:jc w:val="both"/>
                    <w:rPr>
                      <w:rFonts w:ascii="Arial" w:hAnsi="Arial" w:cs="Arial"/>
                      <w:sz w:val="20"/>
                      <w:szCs w:val="20"/>
                    </w:rPr>
                  </w:pPr>
                </w:p>
              </w:tc>
            </w:tr>
          </w:tbl>
          <w:p w:rsidR="00741BCA" w:rsidRPr="00594446" w:rsidRDefault="00741BCA"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genannten Deckungssummen sind als Richtwerte anzusehen und können im Einzelfall auch erhöht oder ermäßigt werden. Die Festlegung ist in der Vergabedokumentation zu begründen.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594446">
              <w:rPr>
                <w:rFonts w:ascii="Arial" w:hAnsi="Arial" w:cs="Arial"/>
                <w:sz w:val="20"/>
                <w:szCs w:val="20"/>
              </w:rPr>
              <w:t>Exzedentenversicherung</w:t>
            </w:r>
            <w:proofErr w:type="spellEnd"/>
            <w:r w:rsidRPr="00594446">
              <w:rPr>
                <w:rFonts w:ascii="Arial" w:hAnsi="Arial" w:cs="Arial"/>
                <w:sz w:val="20"/>
                <w:szCs w:val="20"/>
              </w:rPr>
              <w:t>.</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120" w:line="276" w:lineRule="auto"/>
              <w:rPr>
                <w:rFonts w:ascii="Arial" w:hAnsi="Arial" w:cs="Arial"/>
                <w:b/>
                <w:sz w:val="20"/>
                <w:szCs w:val="20"/>
              </w:rPr>
            </w:pPr>
            <w:r w:rsidRPr="00594446">
              <w:rPr>
                <w:rFonts w:ascii="Arial" w:hAnsi="Arial" w:cs="Arial"/>
                <w:b/>
                <w:sz w:val="20"/>
                <w:szCs w:val="20"/>
              </w:rPr>
              <w:t>Zu § 14</w:t>
            </w:r>
          </w:p>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14.1</w:t>
            </w:r>
          </w:p>
        </w:tc>
        <w:tc>
          <w:tcPr>
            <w:tcW w:w="7583" w:type="dxa"/>
            <w:gridSpan w:val="2"/>
            <w:shd w:val="clear" w:color="auto" w:fill="auto"/>
          </w:tcPr>
          <w:p w:rsidR="00741BCA" w:rsidRPr="00594446" w:rsidRDefault="00741BCA" w:rsidP="00741BCA">
            <w:pPr>
              <w:spacing w:before="120" w:line="276" w:lineRule="auto"/>
              <w:jc w:val="both"/>
              <w:rPr>
                <w:rFonts w:ascii="Arial" w:hAnsi="Arial" w:cs="Arial"/>
                <w:sz w:val="20"/>
                <w:szCs w:val="20"/>
              </w:rPr>
            </w:pPr>
            <w:r w:rsidRPr="00594446">
              <w:rPr>
                <w:rFonts w:ascii="Arial" w:hAnsi="Arial" w:cs="Arial"/>
                <w:b/>
                <w:sz w:val="20"/>
                <w:szCs w:val="20"/>
              </w:rPr>
              <w:t>Ergänzende Vereinbarungen</w:t>
            </w:r>
          </w:p>
          <w:p w:rsidR="00741BCA" w:rsidRPr="00594446" w:rsidRDefault="00741BCA" w:rsidP="00741BCA">
            <w:pPr>
              <w:spacing w:before="120" w:line="276" w:lineRule="auto"/>
              <w:jc w:val="both"/>
              <w:rPr>
                <w:rFonts w:ascii="Arial" w:hAnsi="Arial" w:cs="Arial"/>
                <w:sz w:val="20"/>
                <w:szCs w:val="20"/>
              </w:rPr>
            </w:pPr>
            <w:r w:rsidRPr="00594446">
              <w:rPr>
                <w:rFonts w:ascii="Arial" w:hAnsi="Arial" w:cs="Arial"/>
                <w:b/>
                <w:sz w:val="20"/>
                <w:szCs w:val="20"/>
              </w:rPr>
              <w:t>Verpflichtung nach Verpflichtungsgesetz</w:t>
            </w:r>
          </w:p>
          <w:p w:rsidR="00741BCA" w:rsidRPr="00594446" w:rsidRDefault="00573792" w:rsidP="00741BCA">
            <w:pPr>
              <w:spacing w:before="120" w:line="276" w:lineRule="auto"/>
              <w:jc w:val="both"/>
              <w:rPr>
                <w:rFonts w:ascii="Arial" w:hAnsi="Arial" w:cs="Arial"/>
                <w:sz w:val="20"/>
                <w:szCs w:val="20"/>
              </w:rPr>
            </w:pPr>
            <w:r w:rsidRPr="00594446">
              <w:rPr>
                <w:rFonts w:ascii="Arial" w:hAnsi="Arial" w:cs="Arial"/>
                <w:color w:val="000000"/>
                <w:sz w:val="20"/>
                <w:szCs w:val="20"/>
              </w:rPr>
              <w:t xml:space="preserve">Nach Nr. 7.1.6 Satz 4 </w:t>
            </w:r>
            <w:proofErr w:type="spellStart"/>
            <w:r w:rsidRPr="00594446">
              <w:rPr>
                <w:rFonts w:ascii="Arial" w:hAnsi="Arial" w:cs="Arial"/>
                <w:color w:val="000000"/>
                <w:sz w:val="20"/>
                <w:szCs w:val="20"/>
              </w:rPr>
              <w:t>KorruR</w:t>
            </w:r>
            <w:proofErr w:type="spellEnd"/>
            <w:r w:rsidRPr="00594446">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573792" w:rsidRPr="00594446" w:rsidTr="00F749CA">
        <w:trPr>
          <w:cantSplit/>
        </w:trPr>
        <w:tc>
          <w:tcPr>
            <w:tcW w:w="1809" w:type="dxa"/>
            <w:shd w:val="clear" w:color="auto" w:fill="auto"/>
          </w:tcPr>
          <w:p w:rsidR="00573792" w:rsidRPr="00594446" w:rsidRDefault="00573792" w:rsidP="00741BCA">
            <w:pPr>
              <w:spacing w:before="120" w:line="276" w:lineRule="auto"/>
              <w:rPr>
                <w:rFonts w:ascii="Arial" w:hAnsi="Arial" w:cs="Arial"/>
                <w:b/>
                <w:sz w:val="20"/>
                <w:szCs w:val="20"/>
              </w:rPr>
            </w:pPr>
          </w:p>
        </w:tc>
        <w:tc>
          <w:tcPr>
            <w:tcW w:w="7583" w:type="dxa"/>
            <w:gridSpan w:val="2"/>
            <w:shd w:val="clear" w:color="auto" w:fill="auto"/>
          </w:tcPr>
          <w:p w:rsidR="00573792" w:rsidRPr="00594446" w:rsidRDefault="00573792" w:rsidP="00741BCA">
            <w:pPr>
              <w:spacing w:before="120" w:line="276" w:lineRule="auto"/>
              <w:jc w:val="both"/>
              <w:rPr>
                <w:rFonts w:ascii="Arial" w:hAnsi="Arial" w:cs="Arial"/>
                <w:b/>
                <w:sz w:val="20"/>
                <w:szCs w:val="20"/>
              </w:rPr>
            </w:pPr>
            <w:r w:rsidRPr="00594446">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594446">
              <w:rPr>
                <w:rFonts w:ascii="Arial" w:hAnsi="Arial" w:cs="Arial"/>
                <w:color w:val="000000"/>
                <w:sz w:val="20"/>
                <w:szCs w:val="20"/>
              </w:rPr>
              <w:t>VerplG</w:t>
            </w:r>
            <w:proofErr w:type="spellEnd"/>
            <w:r w:rsidRPr="00594446">
              <w:rPr>
                <w:rFonts w:ascii="Arial" w:hAnsi="Arial" w:cs="Arial"/>
                <w:color w:val="000000"/>
                <w:sz w:val="20"/>
                <w:szCs w:val="20"/>
              </w:rPr>
              <w:t xml:space="preserve"> bereits als verpflichtet gelten, sind nicht erneut zu verpflichten.</w:t>
            </w:r>
          </w:p>
        </w:tc>
      </w:tr>
      <w:tr w:rsidR="00573792" w:rsidRPr="00594446" w:rsidTr="00F749CA">
        <w:trPr>
          <w:cantSplit/>
        </w:trPr>
        <w:tc>
          <w:tcPr>
            <w:tcW w:w="1809" w:type="dxa"/>
            <w:shd w:val="clear" w:color="auto" w:fill="auto"/>
          </w:tcPr>
          <w:p w:rsidR="00573792" w:rsidRPr="00594446" w:rsidRDefault="00573792" w:rsidP="00741BCA">
            <w:pPr>
              <w:spacing w:before="120" w:line="276" w:lineRule="auto"/>
              <w:rPr>
                <w:rFonts w:ascii="Arial" w:hAnsi="Arial" w:cs="Arial"/>
                <w:b/>
                <w:sz w:val="20"/>
                <w:szCs w:val="20"/>
              </w:rPr>
            </w:pPr>
          </w:p>
        </w:tc>
        <w:tc>
          <w:tcPr>
            <w:tcW w:w="7583" w:type="dxa"/>
            <w:gridSpan w:val="2"/>
            <w:shd w:val="clear" w:color="auto" w:fill="auto"/>
          </w:tcPr>
          <w:p w:rsidR="00573792" w:rsidRPr="00594446" w:rsidRDefault="00573792" w:rsidP="00741BCA">
            <w:pPr>
              <w:spacing w:before="120" w:line="276" w:lineRule="auto"/>
              <w:jc w:val="both"/>
              <w:rPr>
                <w:rFonts w:ascii="Arial" w:hAnsi="Arial" w:cs="Arial"/>
                <w:b/>
                <w:sz w:val="20"/>
                <w:szCs w:val="20"/>
              </w:rPr>
            </w:pPr>
            <w:r w:rsidRPr="00594446">
              <w:rPr>
                <w:rFonts w:ascii="Arial" w:hAnsi="Arial" w:cs="Arial"/>
                <w:color w:val="000000"/>
                <w:sz w:val="20"/>
                <w:szCs w:val="20"/>
              </w:rPr>
              <w:t>Siehe hierzu auch VI.11.1 VHF (Richtlinie Verpflichtungserklärung).</w:t>
            </w:r>
          </w:p>
        </w:tc>
      </w:tr>
      <w:tr w:rsidR="00573792" w:rsidRPr="00594446" w:rsidTr="00F749CA">
        <w:trPr>
          <w:cantSplit/>
        </w:trPr>
        <w:tc>
          <w:tcPr>
            <w:tcW w:w="1809" w:type="dxa"/>
            <w:shd w:val="clear" w:color="auto" w:fill="auto"/>
          </w:tcPr>
          <w:p w:rsidR="00573792" w:rsidRPr="00594446" w:rsidRDefault="00573792" w:rsidP="00741BCA">
            <w:pPr>
              <w:spacing w:before="120" w:line="276" w:lineRule="auto"/>
              <w:rPr>
                <w:rFonts w:ascii="Arial" w:hAnsi="Arial" w:cs="Arial"/>
                <w:b/>
                <w:sz w:val="20"/>
                <w:szCs w:val="20"/>
              </w:rPr>
            </w:pPr>
          </w:p>
        </w:tc>
        <w:tc>
          <w:tcPr>
            <w:tcW w:w="7583" w:type="dxa"/>
            <w:gridSpan w:val="2"/>
            <w:shd w:val="clear" w:color="auto" w:fill="auto"/>
          </w:tcPr>
          <w:p w:rsidR="00573792" w:rsidRPr="00594446" w:rsidRDefault="00573792" w:rsidP="00741BCA">
            <w:pPr>
              <w:spacing w:before="12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ind w:firstLine="549"/>
              <w:rPr>
                <w:rFonts w:ascii="Arial" w:hAnsi="Arial" w:cs="Arial"/>
                <w:sz w:val="20"/>
                <w:szCs w:val="20"/>
              </w:rPr>
            </w:pPr>
            <w:r w:rsidRPr="00594446">
              <w:rPr>
                <w:rFonts w:ascii="Arial" w:hAnsi="Arial" w:cs="Arial"/>
                <w:b/>
                <w:sz w:val="20"/>
                <w:szCs w:val="20"/>
              </w:rPr>
              <w:t>Zu 14.3</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Weitere ergänzende Vereinbarungen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Hier können weitere vertragliche Regelungen, z.</w:t>
            </w:r>
            <w:r w:rsidR="00356FC0" w:rsidRPr="00594446">
              <w:rPr>
                <w:rFonts w:ascii="Arial" w:hAnsi="Arial" w:cs="Arial"/>
                <w:sz w:val="20"/>
                <w:szCs w:val="20"/>
              </w:rPr>
              <w:t> </w:t>
            </w:r>
            <w:r w:rsidRPr="00594446">
              <w:rPr>
                <w:rFonts w:ascii="Arial" w:hAnsi="Arial" w:cs="Arial"/>
                <w:sz w:val="20"/>
                <w:szCs w:val="20"/>
              </w:rPr>
              <w:t>B. Vertragstrafen, urheberrechtliche Regelungen bei der Beauftragung eines Preisträgers oder Sonderregelungen beim Urheberrecht bei Muster- und Standardplanungen vereinbart werden.</w:t>
            </w:r>
          </w:p>
        </w:tc>
      </w:tr>
      <w:tr w:rsidR="00CE76B4" w:rsidRPr="00594446" w:rsidTr="00F749CA">
        <w:trPr>
          <w:cantSplit/>
        </w:trPr>
        <w:tc>
          <w:tcPr>
            <w:tcW w:w="1809" w:type="dxa"/>
            <w:shd w:val="clear" w:color="auto" w:fill="auto"/>
          </w:tcPr>
          <w:p w:rsidR="00CE76B4" w:rsidRPr="00594446" w:rsidRDefault="00CE76B4" w:rsidP="00741BCA">
            <w:pPr>
              <w:spacing w:before="80" w:line="276" w:lineRule="auto"/>
              <w:ind w:firstLine="549"/>
              <w:rPr>
                <w:rFonts w:ascii="Arial" w:hAnsi="Arial" w:cs="Arial"/>
                <w:b/>
                <w:sz w:val="20"/>
                <w:szCs w:val="20"/>
              </w:rPr>
            </w:pPr>
          </w:p>
        </w:tc>
        <w:tc>
          <w:tcPr>
            <w:tcW w:w="7583" w:type="dxa"/>
            <w:gridSpan w:val="2"/>
            <w:shd w:val="clear" w:color="auto" w:fill="auto"/>
          </w:tcPr>
          <w:p w:rsidR="00CE76B4" w:rsidRPr="00594446" w:rsidRDefault="00CE76B4" w:rsidP="00741BCA">
            <w:pPr>
              <w:spacing w:before="80" w:line="276" w:lineRule="auto"/>
              <w:jc w:val="both"/>
              <w:rPr>
                <w:rFonts w:ascii="Arial" w:hAnsi="Arial" w:cs="Arial"/>
                <w:b/>
                <w:sz w:val="20"/>
                <w:szCs w:val="20"/>
              </w:rPr>
            </w:pPr>
          </w:p>
        </w:tc>
      </w:tr>
      <w:tr w:rsidR="00356FC0" w:rsidRPr="00594446" w:rsidTr="00F749CA">
        <w:trPr>
          <w:cantSplit/>
        </w:trPr>
        <w:tc>
          <w:tcPr>
            <w:tcW w:w="1809" w:type="dxa"/>
            <w:shd w:val="clear" w:color="auto" w:fill="auto"/>
          </w:tcPr>
          <w:p w:rsidR="00356FC0" w:rsidRPr="00594446" w:rsidRDefault="00356FC0" w:rsidP="00741BCA">
            <w:pPr>
              <w:spacing w:before="80" w:line="276" w:lineRule="auto"/>
              <w:ind w:firstLine="549"/>
              <w:rPr>
                <w:rFonts w:ascii="Arial" w:hAnsi="Arial" w:cs="Arial"/>
                <w:b/>
                <w:sz w:val="20"/>
                <w:szCs w:val="20"/>
              </w:rPr>
            </w:pPr>
          </w:p>
        </w:tc>
        <w:tc>
          <w:tcPr>
            <w:tcW w:w="7583" w:type="dxa"/>
            <w:gridSpan w:val="2"/>
            <w:shd w:val="clear" w:color="auto" w:fill="auto"/>
          </w:tcPr>
          <w:p w:rsidR="00356FC0" w:rsidRPr="00594446" w:rsidRDefault="00356FC0"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r w:rsidRPr="00594446">
              <w:rPr>
                <w:rFonts w:ascii="Arial" w:hAnsi="Arial" w:cs="Arial"/>
                <w:b/>
                <w:sz w:val="20"/>
                <w:szCs w:val="20"/>
              </w:rPr>
              <w:lastRenderedPageBreak/>
              <w:t xml:space="preserve">Zur Anlage </w:t>
            </w:r>
            <w:r w:rsidRPr="00594446">
              <w:rPr>
                <w:rFonts w:ascii="Arial" w:hAnsi="Arial" w:cs="Arial"/>
                <w:b/>
                <w:sz w:val="20"/>
                <w:szCs w:val="20"/>
              </w:rPr>
              <w:br/>
              <w:t>zu § 6</w:t>
            </w: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Spezifische Leistungspflichten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 in der Anlage zu § 6 aufgeführten Grundleistungen sind für die ordnungsgemäße Erledigung im Allgemeinen erforderlich. Nicht angekreuzte Leistungen sind nicht beauftragt und sind bei der Berechnung der Vergütung gemäß § 8 Absatz 2 HOAI nicht zu berücksichtigen.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Teilleistungen, die regelmäßig durch den Auftraggeber zu erbringen und nicht zu beauftragen sind, sind in den Leistungsstufen 3 (Vergabe) und 4 (Bauoberleitung) ausgewiesen. Bei einer vollständigen Beauftragung aller Leistungsstufen führt dies zu einer gegenüber der HOAI um 2,45 v.H. reduzierten prozentualen Bewertung.</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Bei den Fachspezifischen Berechnungen Leistungsphase 3 Buchstabe c) kann es sich z.</w:t>
            </w:r>
            <w:r w:rsidR="00E03367" w:rsidRPr="00594446">
              <w:rPr>
                <w:rFonts w:ascii="Arial" w:hAnsi="Arial" w:cs="Arial"/>
                <w:sz w:val="20"/>
                <w:szCs w:val="20"/>
              </w:rPr>
              <w:t> </w:t>
            </w:r>
            <w:r w:rsidRPr="00594446">
              <w:rPr>
                <w:rFonts w:ascii="Arial" w:hAnsi="Arial" w:cs="Arial"/>
                <w:sz w:val="20"/>
                <w:szCs w:val="20"/>
              </w:rPr>
              <w:t>B. um die Dimensionierung der Entwässerung handeln.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In der Leistungsphase 4 wird bei der Grundleistung Buchstabe d</w:t>
            </w:r>
            <w:r w:rsidR="00E03367" w:rsidRPr="00594446">
              <w:rPr>
                <w:rFonts w:ascii="Arial" w:hAnsi="Arial" w:cs="Arial"/>
                <w:sz w:val="20"/>
                <w:szCs w:val="20"/>
              </w:rPr>
              <w:t>)</w:t>
            </w:r>
            <w:r w:rsidRPr="00594446">
              <w:rPr>
                <w:rFonts w:ascii="Arial" w:hAnsi="Arial" w:cs="Arial"/>
                <w:sz w:val="20"/>
                <w:szCs w:val="20"/>
              </w:rPr>
              <w:t xml:space="preserve"> „Abstimmen mit Behörden“ wie auch bisher (Grundleistung LPH 4 Buchstabe e)) kein Mitwirken des Auftraggebers eingefügt und entsprechend kein prozentualer Abzug bei der Bewertung für diese Teilleistung vorgenommen.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 Grunde liegenden Ansätze. Das Nachrechnen und die Erstellung des Preisspiegels erfolgt durch den Auftraggeber.</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b/>
                <w:sz w:val="20"/>
                <w:szCs w:val="20"/>
              </w:rPr>
              <w:t>Besondere Leistungen</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Die </w:t>
            </w:r>
            <w:proofErr w:type="spellStart"/>
            <w:r w:rsidRPr="00594446">
              <w:rPr>
                <w:rFonts w:ascii="Arial" w:hAnsi="Arial" w:cs="Arial"/>
                <w:sz w:val="20"/>
                <w:szCs w:val="20"/>
              </w:rPr>
              <w:t>Besonderen</w:t>
            </w:r>
            <w:proofErr w:type="spellEnd"/>
            <w:r w:rsidRPr="00594446">
              <w:rPr>
                <w:rFonts w:ascii="Arial" w:hAnsi="Arial" w:cs="Arial"/>
                <w:sz w:val="20"/>
                <w:szCs w:val="20"/>
              </w:rPr>
              <w:t xml:space="preserve"> Leistungen sind nach Bedarf projektspezifisch zu vereinbaren und in der Anlage zu § 6 zu beschreiben. </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 xml:space="preserve">Die Erstellung eines Terminplans ist im Leistungsbild Ingenieurbauwerke nicht wie im Leistungsbild Gebäude bereits ab der Leistungsphase 2 als Grundleistung verankert. Soll eine detaillierte Terminplanung bereits ab der Leistungsphase 2 beauftragt werden, so ist dies als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 vertraglich zu vereinbaren. Dabei ist darauf zu achten, diese Leistung von den Grundleistungen „Bauzeiten- und Kostenplan“, Leistungsphase 3 Buchstabe i und „Aufstellen, Fortschreiben und Überwachen eines Terminplans (Balkendiagramm), Leistungsphase 8 Buchstabe b, klar abzugrenzen.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Auf folgende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Leistungen wird in der Anlage explizit hingewiesen:</w:t>
            </w:r>
          </w:p>
          <w:p w:rsidR="00741BCA" w:rsidRPr="00456000" w:rsidRDefault="00741BCA" w:rsidP="00741BCA">
            <w:pPr>
              <w:spacing w:before="80" w:line="276" w:lineRule="auto"/>
              <w:jc w:val="both"/>
              <w:rPr>
                <w:rFonts w:ascii="Arial" w:hAnsi="Arial" w:cs="Arial"/>
                <w:sz w:val="20"/>
                <w:szCs w:val="20"/>
              </w:rPr>
            </w:pPr>
            <w:r w:rsidRPr="00594446">
              <w:rPr>
                <w:rFonts w:ascii="Arial" w:hAnsi="Arial" w:cs="Arial"/>
                <w:b/>
                <w:sz w:val="20"/>
                <w:szCs w:val="20"/>
              </w:rPr>
              <w:t>a) Leistungsstufe 4:</w:t>
            </w:r>
            <w:r w:rsidR="00E73E55" w:rsidRPr="00594446">
              <w:rPr>
                <w:rFonts w:ascii="Arial" w:hAnsi="Arial" w:cs="Arial"/>
                <w:b/>
                <w:sz w:val="20"/>
                <w:szCs w:val="20"/>
              </w:rPr>
              <w:t xml:space="preserve"> </w:t>
            </w:r>
            <w:r w:rsidRPr="00456000">
              <w:rPr>
                <w:rFonts w:ascii="Arial" w:hAnsi="Arial" w:cs="Arial"/>
                <w:sz w:val="20"/>
                <w:szCs w:val="20"/>
              </w:rPr>
              <w:t>Besondere Leistungen der „Örtlichen Bauüberwachung“ gemäß HOAI</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 xml:space="preserve">Die Leistungen der örtlichen Bauüberwachung gem. Anlage 12.1 HOAI werden vollständig unter den </w:t>
            </w:r>
            <w:proofErr w:type="spellStart"/>
            <w:r w:rsidRPr="00594446">
              <w:rPr>
                <w:rFonts w:ascii="Arial" w:hAnsi="Arial" w:cs="Arial"/>
                <w:sz w:val="20"/>
                <w:szCs w:val="20"/>
              </w:rPr>
              <w:t>Besonderen</w:t>
            </w:r>
            <w:proofErr w:type="spellEnd"/>
            <w:r w:rsidRPr="00594446">
              <w:rPr>
                <w:rFonts w:ascii="Arial" w:hAnsi="Arial" w:cs="Arial"/>
                <w:sz w:val="20"/>
                <w:szCs w:val="20"/>
              </w:rPr>
              <w:t xml:space="preserve"> Leistungen abgebildet und sind je nach beabsichtigter Leistungsübertragung auszuwählen.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b/>
                <w:sz w:val="20"/>
                <w:szCs w:val="20"/>
              </w:rPr>
            </w:pPr>
            <w:r w:rsidRPr="00594446">
              <w:rPr>
                <w:rFonts w:ascii="Arial" w:hAnsi="Arial" w:cs="Arial"/>
                <w:sz w:val="20"/>
                <w:szCs w:val="20"/>
              </w:rPr>
              <w:t xml:space="preserve">Wird die örtliche Bauüberwachung als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 beauftragt, so soll diese auch dann das „Überwachen der Ausführung von Tragwerken</w:t>
            </w:r>
            <w:r w:rsidRPr="00594446" w:rsidDel="00933DF0">
              <w:rPr>
                <w:rFonts w:ascii="Arial" w:hAnsi="Arial" w:cs="Arial"/>
                <w:sz w:val="20"/>
                <w:szCs w:val="20"/>
              </w:rPr>
              <w:t xml:space="preserve"> </w:t>
            </w:r>
            <w:r w:rsidRPr="00594446">
              <w:rPr>
                <w:rFonts w:ascii="Arial" w:hAnsi="Arial" w:cs="Arial"/>
                <w:sz w:val="20"/>
                <w:szCs w:val="20"/>
              </w:rPr>
              <w:t xml:space="preserve">mit sehr geringen oder geringen Planungsanforderungen (Bewertungsmerkmale gemäß Anlage 14 Nummer 14.2, 1. oder 2. Spiegelstrich HOAI) auf Übereinstimmung mit dem Standsicherheitsnachweis“ (Leistungsstufe 4) umfassen. Wenn ein Tragwerk einer höheren Honorarzone vorliegt und somit eine ingenieurtechnische Kontrolle erforderlich ist, ist die Überwachung der Ausführung dieser Tragwerke als </w:t>
            </w:r>
            <w:proofErr w:type="spellStart"/>
            <w:r w:rsidRPr="00594446">
              <w:rPr>
                <w:rFonts w:ascii="Arial" w:hAnsi="Arial" w:cs="Arial"/>
                <w:sz w:val="20"/>
                <w:szCs w:val="20"/>
              </w:rPr>
              <w:t>Besondere</w:t>
            </w:r>
            <w:proofErr w:type="spellEnd"/>
            <w:r w:rsidRPr="00594446">
              <w:rPr>
                <w:rFonts w:ascii="Arial" w:hAnsi="Arial" w:cs="Arial"/>
                <w:sz w:val="20"/>
                <w:szCs w:val="20"/>
              </w:rPr>
              <w:t xml:space="preserve"> Leistung an einen Tragwerksplaner zu beauftragen.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rsidP="00741BCA">
            <w:pPr>
              <w:spacing w:before="80" w:line="276" w:lineRule="auto"/>
              <w:jc w:val="both"/>
              <w:rPr>
                <w:rFonts w:ascii="Arial" w:hAnsi="Arial" w:cs="Arial"/>
                <w:sz w:val="20"/>
                <w:szCs w:val="20"/>
              </w:rPr>
            </w:pP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456000" w:rsidRDefault="00741BCA" w:rsidP="00741BCA">
            <w:pPr>
              <w:spacing w:before="80" w:line="276" w:lineRule="auto"/>
              <w:jc w:val="both"/>
              <w:rPr>
                <w:rFonts w:ascii="Arial" w:hAnsi="Arial" w:cs="Arial"/>
                <w:sz w:val="20"/>
                <w:szCs w:val="20"/>
              </w:rPr>
            </w:pPr>
            <w:r w:rsidRPr="00594446">
              <w:rPr>
                <w:rFonts w:ascii="Arial" w:hAnsi="Arial" w:cs="Arial"/>
                <w:b/>
                <w:sz w:val="20"/>
                <w:szCs w:val="20"/>
              </w:rPr>
              <w:t>b) Leistungsstufe 5:</w:t>
            </w:r>
            <w:r w:rsidR="00E73E55" w:rsidRPr="00594446">
              <w:rPr>
                <w:rFonts w:ascii="Arial" w:hAnsi="Arial" w:cs="Arial"/>
                <w:b/>
                <w:sz w:val="20"/>
                <w:szCs w:val="20"/>
              </w:rPr>
              <w:t xml:space="preserve"> </w:t>
            </w:r>
            <w:r w:rsidRPr="00456000">
              <w:rPr>
                <w:rFonts w:ascii="Arial" w:hAnsi="Arial" w:cs="Arial"/>
                <w:sz w:val="20"/>
                <w:szCs w:val="20"/>
              </w:rPr>
              <w:t>Überwachen der Mängelbeseitigung innerhalb der Verjährungsfrist</w:t>
            </w:r>
          </w:p>
          <w:p w:rsidR="00741BCA" w:rsidRPr="00594446" w:rsidRDefault="00741BCA" w:rsidP="00741BCA">
            <w:pPr>
              <w:spacing w:before="80" w:line="276" w:lineRule="auto"/>
              <w:jc w:val="both"/>
              <w:rPr>
                <w:rFonts w:ascii="Arial" w:hAnsi="Arial" w:cs="Arial"/>
                <w:sz w:val="20"/>
                <w:szCs w:val="20"/>
              </w:rPr>
            </w:pPr>
            <w:r w:rsidRPr="00594446">
              <w:rPr>
                <w:rFonts w:ascii="Arial" w:hAnsi="Arial" w:cs="Arial"/>
                <w:sz w:val="20"/>
                <w:szCs w:val="20"/>
              </w:rPr>
              <w:t>Diese Leistung sollte vorzugsweise an den mit der Leistungsstufe 5 beauftragten Ingenieur vergeben werden, kann aber auch vom Auftraggeber erbracht werden.</w:t>
            </w:r>
          </w:p>
        </w:tc>
      </w:tr>
      <w:tr w:rsidR="00741BCA" w:rsidRPr="00594446" w:rsidTr="00E81C91">
        <w:trPr>
          <w:cantSplit/>
        </w:trPr>
        <w:tc>
          <w:tcPr>
            <w:tcW w:w="1809" w:type="dxa"/>
            <w:shd w:val="clear" w:color="auto" w:fill="auto"/>
          </w:tcPr>
          <w:p w:rsidR="00741BCA" w:rsidRPr="00594446" w:rsidRDefault="00741BCA" w:rsidP="00741BCA">
            <w:pPr>
              <w:spacing w:before="80" w:line="276" w:lineRule="auto"/>
              <w:rPr>
                <w:rFonts w:ascii="Arial" w:hAnsi="Arial" w:cs="Arial"/>
                <w:b/>
                <w:sz w:val="20"/>
                <w:szCs w:val="20"/>
              </w:rPr>
            </w:pPr>
          </w:p>
        </w:tc>
        <w:tc>
          <w:tcPr>
            <w:tcW w:w="7583" w:type="dxa"/>
            <w:gridSpan w:val="2"/>
            <w:shd w:val="clear" w:color="auto" w:fill="auto"/>
          </w:tcPr>
          <w:p w:rsidR="00741BCA" w:rsidRPr="00594446" w:rsidRDefault="00741BCA">
            <w:pPr>
              <w:spacing w:before="80" w:line="276" w:lineRule="auto"/>
              <w:jc w:val="both"/>
              <w:rPr>
                <w:rFonts w:ascii="Arial" w:hAnsi="Arial" w:cs="Arial"/>
                <w:b/>
                <w:sz w:val="20"/>
                <w:szCs w:val="20"/>
              </w:rPr>
            </w:pPr>
            <w:r w:rsidRPr="00594446">
              <w:rPr>
                <w:rFonts w:ascii="Arial" w:hAnsi="Arial" w:cs="Arial"/>
                <w:sz w:val="20"/>
                <w:szCs w:val="20"/>
              </w:rPr>
              <w:t>Bei Baumaßnahmen für Gaststreitkräfte ist der Leistungskatalog gemäß Anlage zu § 6 gesondert zusammen zu stellen. Die Leistungen sind im Abgleich mit RBBau, ABG1975/</w:t>
            </w:r>
            <w:r w:rsidR="00204D32" w:rsidRPr="00594446">
              <w:rPr>
                <w:rFonts w:ascii="Arial" w:hAnsi="Arial" w:cs="Arial"/>
                <w:sz w:val="20"/>
                <w:szCs w:val="20"/>
              </w:rPr>
              <w:t>RiABG</w:t>
            </w:r>
            <w:r w:rsidR="00204D32" w:rsidRPr="00594446">
              <w:rPr>
                <w:rFonts w:ascii="Arial" w:hAnsi="Arial" w:cs="Arial"/>
                <w:sz w:val="20"/>
                <w:szCs w:val="20"/>
                <w:vertAlign w:val="superscript"/>
              </w:rPr>
              <w:t>1</w:t>
            </w:r>
            <w:r w:rsidRPr="00594446">
              <w:rPr>
                <w:rFonts w:ascii="Arial" w:hAnsi="Arial" w:cs="Arial"/>
                <w:sz w:val="20"/>
                <w:szCs w:val="20"/>
              </w:rPr>
              <w:t xml:space="preserve"> und dem Auftragsdokument ABG3 festzulegen. Die nach den Anforderungen der Gaststreitkräfte über die Leistungsbilder der HOAI hinausgehenden weiteren Leistungen sind in den entsprechenden Tabellen (Besondere Leistungen) bei den jeweiligen Leistungsstufen einzutragen. Sie unterliegen der freien Vereinbarung. Hierfür ist die Bemessung nach v.H.-Sätzen oder eine angemessene Pauschalierung anzustreben. Bei keinem oder nur geringfügigem Mehraufwand können diese Leistungen auch im Grundhonorar nach HOAI enthalten sein.</w:t>
            </w:r>
            <w:r w:rsidRPr="00594446">
              <w:rPr>
                <w:rFonts w:ascii="Arial" w:hAnsi="Arial" w:cs="Arial"/>
                <w:b/>
                <w:sz w:val="20"/>
                <w:szCs w:val="20"/>
              </w:rPr>
              <w:t xml:space="preserve"> </w:t>
            </w:r>
          </w:p>
        </w:tc>
      </w:tr>
    </w:tbl>
    <w:p w:rsidR="00464939" w:rsidRPr="00594446" w:rsidRDefault="00464939" w:rsidP="002C6A03">
      <w:pPr>
        <w:spacing w:line="276" w:lineRule="auto"/>
        <w:rPr>
          <w:rFonts w:ascii="Arial" w:hAnsi="Arial" w:cs="Arial"/>
          <w:sz w:val="20"/>
          <w:szCs w:val="20"/>
        </w:rPr>
      </w:pPr>
    </w:p>
    <w:p w:rsidR="00AB5716" w:rsidRPr="00594446" w:rsidRDefault="00AB5716" w:rsidP="002C6A03">
      <w:pPr>
        <w:spacing w:line="276" w:lineRule="auto"/>
        <w:rPr>
          <w:rFonts w:ascii="Arial" w:hAnsi="Arial" w:cs="Arial"/>
          <w:sz w:val="20"/>
          <w:szCs w:val="20"/>
        </w:rPr>
      </w:pPr>
    </w:p>
    <w:p w:rsidR="00F52BA5" w:rsidRPr="00594446" w:rsidRDefault="00F52BA5" w:rsidP="002C6A03">
      <w:pPr>
        <w:spacing w:line="276" w:lineRule="auto"/>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513"/>
      </w:tblGrid>
      <w:tr w:rsidR="00806918" w:rsidRPr="00594446" w:rsidTr="00AB5716">
        <w:tc>
          <w:tcPr>
            <w:tcW w:w="1809" w:type="dxa"/>
            <w:tcBorders>
              <w:top w:val="nil"/>
              <w:left w:val="nil"/>
              <w:bottom w:val="nil"/>
              <w:right w:val="nil"/>
            </w:tcBorders>
            <w:shd w:val="clear" w:color="auto" w:fill="auto"/>
          </w:tcPr>
          <w:p w:rsidR="00806918" w:rsidRPr="00594446" w:rsidRDefault="00806918" w:rsidP="00AB5716">
            <w:pPr>
              <w:spacing w:before="80" w:line="276" w:lineRule="auto"/>
              <w:rPr>
                <w:rFonts w:ascii="Arial" w:hAnsi="Arial" w:cs="Arial"/>
                <w:b/>
                <w:sz w:val="20"/>
                <w:szCs w:val="20"/>
              </w:rPr>
            </w:pPr>
            <w:r w:rsidRPr="00594446">
              <w:rPr>
                <w:rFonts w:ascii="Arial" w:hAnsi="Arial" w:cs="Arial"/>
                <w:b/>
                <w:sz w:val="20"/>
                <w:szCs w:val="20"/>
              </w:rPr>
              <w:t>Zu §</w:t>
            </w:r>
            <w:r w:rsidR="00AB5716" w:rsidRPr="00594446">
              <w:rPr>
                <w:rFonts w:ascii="Arial" w:hAnsi="Arial" w:cs="Arial"/>
                <w:b/>
                <w:sz w:val="20"/>
                <w:szCs w:val="20"/>
              </w:rPr>
              <w:t> </w:t>
            </w:r>
            <w:r w:rsidRPr="00594446">
              <w:rPr>
                <w:rFonts w:ascii="Arial" w:hAnsi="Arial" w:cs="Arial"/>
                <w:b/>
                <w:sz w:val="20"/>
                <w:szCs w:val="20"/>
              </w:rPr>
              <w:t xml:space="preserve">12 AVB </w:t>
            </w:r>
          </w:p>
        </w:tc>
        <w:tc>
          <w:tcPr>
            <w:tcW w:w="7513" w:type="dxa"/>
            <w:tcBorders>
              <w:top w:val="nil"/>
              <w:left w:val="nil"/>
              <w:bottom w:val="nil"/>
              <w:right w:val="nil"/>
            </w:tcBorders>
            <w:shd w:val="clear" w:color="auto" w:fill="auto"/>
          </w:tcPr>
          <w:p w:rsidR="00806918" w:rsidRPr="00594446" w:rsidRDefault="00806918" w:rsidP="002C6A03">
            <w:pPr>
              <w:spacing w:before="80" w:line="276" w:lineRule="auto"/>
              <w:jc w:val="both"/>
              <w:rPr>
                <w:rFonts w:ascii="Arial" w:hAnsi="Arial" w:cs="Arial"/>
                <w:sz w:val="20"/>
                <w:szCs w:val="20"/>
              </w:rPr>
            </w:pPr>
            <w:r w:rsidRPr="00594446">
              <w:rPr>
                <w:rFonts w:ascii="Arial" w:hAnsi="Arial" w:cs="Arial"/>
                <w:b/>
                <w:sz w:val="20"/>
                <w:szCs w:val="20"/>
              </w:rPr>
              <w:t>Zahlungen</w:t>
            </w:r>
          </w:p>
          <w:p w:rsidR="00CF6415" w:rsidRPr="00594446" w:rsidRDefault="00806918" w:rsidP="002C6A03">
            <w:pPr>
              <w:spacing w:before="80" w:line="276" w:lineRule="auto"/>
              <w:jc w:val="both"/>
              <w:rPr>
                <w:rFonts w:ascii="Arial" w:hAnsi="Arial" w:cs="Arial"/>
                <w:sz w:val="20"/>
                <w:szCs w:val="20"/>
              </w:rPr>
            </w:pPr>
            <w:r w:rsidRPr="00594446">
              <w:rPr>
                <w:rFonts w:ascii="Arial" w:hAnsi="Arial" w:cs="Arial"/>
                <w:sz w:val="20"/>
                <w:szCs w:val="20"/>
              </w:rPr>
              <w:t xml:space="preserve">Der </w:t>
            </w:r>
            <w:proofErr w:type="spellStart"/>
            <w:r w:rsidRPr="00594446">
              <w:rPr>
                <w:rFonts w:ascii="Arial" w:hAnsi="Arial" w:cs="Arial"/>
                <w:sz w:val="20"/>
                <w:szCs w:val="20"/>
              </w:rPr>
              <w:t>Sicherheitseinbehalt</w:t>
            </w:r>
            <w:proofErr w:type="spellEnd"/>
            <w:r w:rsidRPr="00594446">
              <w:rPr>
                <w:rFonts w:ascii="Arial" w:hAnsi="Arial" w:cs="Arial"/>
                <w:sz w:val="20"/>
                <w:szCs w:val="20"/>
              </w:rPr>
              <w:t xml:space="preserve"> wird nach Abnahme der Leistungen in Verbindung mit der Teil-/Schlusszahlung ausgezahlt.</w:t>
            </w:r>
          </w:p>
        </w:tc>
      </w:tr>
      <w:tr w:rsidR="00F52BA5" w:rsidRPr="00594446" w:rsidTr="00AB5716">
        <w:tc>
          <w:tcPr>
            <w:tcW w:w="1809" w:type="dxa"/>
            <w:tcBorders>
              <w:top w:val="nil"/>
              <w:left w:val="nil"/>
              <w:bottom w:val="nil"/>
              <w:right w:val="nil"/>
            </w:tcBorders>
            <w:shd w:val="clear" w:color="auto" w:fill="auto"/>
          </w:tcPr>
          <w:p w:rsidR="00F52BA5" w:rsidRPr="00594446" w:rsidRDefault="00F52BA5" w:rsidP="00AB5716">
            <w:pPr>
              <w:spacing w:before="80" w:line="276" w:lineRule="auto"/>
              <w:rPr>
                <w:rFonts w:ascii="Arial" w:hAnsi="Arial" w:cs="Arial"/>
                <w:b/>
                <w:sz w:val="20"/>
                <w:szCs w:val="20"/>
              </w:rPr>
            </w:pPr>
          </w:p>
        </w:tc>
        <w:tc>
          <w:tcPr>
            <w:tcW w:w="7513" w:type="dxa"/>
            <w:tcBorders>
              <w:top w:val="nil"/>
              <w:left w:val="nil"/>
              <w:bottom w:val="nil"/>
              <w:right w:val="nil"/>
            </w:tcBorders>
            <w:shd w:val="clear" w:color="auto" w:fill="auto"/>
          </w:tcPr>
          <w:p w:rsidR="00F52BA5" w:rsidRPr="00594446" w:rsidRDefault="00F52BA5" w:rsidP="002C6A03">
            <w:pPr>
              <w:spacing w:before="80" w:line="276" w:lineRule="auto"/>
              <w:jc w:val="both"/>
              <w:rPr>
                <w:rFonts w:ascii="Arial" w:hAnsi="Arial" w:cs="Arial"/>
                <w:b/>
                <w:sz w:val="20"/>
                <w:szCs w:val="20"/>
              </w:rPr>
            </w:pPr>
          </w:p>
        </w:tc>
      </w:tr>
      <w:tr w:rsidR="00806918" w:rsidRPr="002C6A03" w:rsidTr="00AB5716">
        <w:tc>
          <w:tcPr>
            <w:tcW w:w="1809" w:type="dxa"/>
            <w:tcBorders>
              <w:top w:val="nil"/>
              <w:left w:val="nil"/>
              <w:bottom w:val="nil"/>
              <w:right w:val="nil"/>
            </w:tcBorders>
            <w:shd w:val="clear" w:color="auto" w:fill="auto"/>
          </w:tcPr>
          <w:p w:rsidR="00806918" w:rsidRPr="00594446" w:rsidRDefault="00806918" w:rsidP="002C6A03">
            <w:pPr>
              <w:spacing w:before="80" w:line="276" w:lineRule="auto"/>
              <w:rPr>
                <w:rFonts w:ascii="Arial" w:hAnsi="Arial" w:cs="Arial"/>
                <w:b/>
                <w:sz w:val="20"/>
                <w:szCs w:val="20"/>
              </w:rPr>
            </w:pPr>
            <w:r w:rsidRPr="00594446">
              <w:rPr>
                <w:rFonts w:ascii="Arial" w:hAnsi="Arial" w:cs="Arial"/>
                <w:b/>
                <w:sz w:val="20"/>
                <w:szCs w:val="20"/>
              </w:rPr>
              <w:t>Zu §</w:t>
            </w:r>
            <w:r w:rsidR="00AB5716" w:rsidRPr="00594446">
              <w:rPr>
                <w:rFonts w:ascii="Arial" w:hAnsi="Arial" w:cs="Arial"/>
                <w:b/>
                <w:sz w:val="20"/>
                <w:szCs w:val="20"/>
              </w:rPr>
              <w:t> </w:t>
            </w:r>
            <w:r w:rsidRPr="00594446">
              <w:rPr>
                <w:rFonts w:ascii="Arial" w:hAnsi="Arial" w:cs="Arial"/>
                <w:b/>
                <w:sz w:val="20"/>
                <w:szCs w:val="20"/>
              </w:rPr>
              <w:t>13 AVB</w:t>
            </w:r>
          </w:p>
          <w:p w:rsidR="00806918" w:rsidRPr="00594446" w:rsidRDefault="00806918" w:rsidP="002C6A03">
            <w:pPr>
              <w:spacing w:before="80" w:line="276" w:lineRule="auto"/>
              <w:ind w:firstLine="426"/>
              <w:rPr>
                <w:rFonts w:ascii="Arial" w:hAnsi="Arial" w:cs="Arial"/>
                <w:b/>
                <w:sz w:val="20"/>
                <w:szCs w:val="20"/>
              </w:rPr>
            </w:pPr>
            <w:r w:rsidRPr="00594446">
              <w:rPr>
                <w:rFonts w:ascii="Arial" w:hAnsi="Arial" w:cs="Arial"/>
                <w:b/>
                <w:sz w:val="20"/>
                <w:szCs w:val="20"/>
              </w:rPr>
              <w:t xml:space="preserve">Zu 13.1 </w:t>
            </w:r>
          </w:p>
        </w:tc>
        <w:tc>
          <w:tcPr>
            <w:tcW w:w="7513" w:type="dxa"/>
            <w:tcBorders>
              <w:top w:val="nil"/>
              <w:left w:val="nil"/>
              <w:bottom w:val="nil"/>
              <w:right w:val="nil"/>
            </w:tcBorders>
            <w:shd w:val="clear" w:color="auto" w:fill="auto"/>
          </w:tcPr>
          <w:p w:rsidR="00806918" w:rsidRPr="00594446" w:rsidRDefault="00806918" w:rsidP="002C6A03">
            <w:pPr>
              <w:pStyle w:val="Kommentartext"/>
              <w:spacing w:before="80" w:after="80" w:line="276" w:lineRule="auto"/>
              <w:jc w:val="both"/>
              <w:rPr>
                <w:rFonts w:cs="Arial"/>
              </w:rPr>
            </w:pPr>
            <w:r w:rsidRPr="00594446">
              <w:rPr>
                <w:rFonts w:cs="Arial"/>
                <w:b/>
              </w:rPr>
              <w:t>Kündigung durch den Auftraggeber</w:t>
            </w:r>
          </w:p>
          <w:p w:rsidR="00806918" w:rsidRPr="00594446" w:rsidRDefault="00806918" w:rsidP="002C6A03">
            <w:pPr>
              <w:pStyle w:val="Kommentartext"/>
              <w:spacing w:before="80" w:after="80" w:line="276" w:lineRule="auto"/>
              <w:jc w:val="both"/>
              <w:rPr>
                <w:rFonts w:cs="Arial"/>
              </w:rPr>
            </w:pPr>
            <w:r w:rsidRPr="00594446">
              <w:rPr>
                <w:rFonts w:cs="Arial"/>
              </w:rPr>
              <w:t xml:space="preserve">Eine Kündigung bedarf in jedem Falle der juristischen Klärung. </w:t>
            </w:r>
          </w:p>
          <w:p w:rsidR="00806918" w:rsidRPr="00594446" w:rsidRDefault="00806918" w:rsidP="002C6A03">
            <w:pPr>
              <w:pStyle w:val="Kommentartext"/>
              <w:spacing w:after="80" w:line="276" w:lineRule="auto"/>
              <w:jc w:val="both"/>
              <w:rPr>
                <w:rFonts w:cs="Arial"/>
              </w:rPr>
            </w:pPr>
            <w:r w:rsidRPr="00594446">
              <w:rPr>
                <w:rFonts w:cs="Arial"/>
              </w:rPr>
              <w:t>Kündigungsgründe können z.</w:t>
            </w:r>
            <w:r w:rsidR="00755827" w:rsidRPr="00594446">
              <w:rPr>
                <w:rFonts w:cs="Arial"/>
              </w:rPr>
              <w:t> </w:t>
            </w:r>
            <w:r w:rsidRPr="00594446">
              <w:rPr>
                <w:rFonts w:cs="Arial"/>
              </w:rPr>
              <w:t>B. vorliegen, wenn der Auftragnehmer</w:t>
            </w:r>
          </w:p>
          <w:p w:rsidR="00806918" w:rsidRPr="00594446" w:rsidRDefault="00806918" w:rsidP="002C6A03">
            <w:pPr>
              <w:pStyle w:val="Kommentartext"/>
              <w:numPr>
                <w:ilvl w:val="0"/>
                <w:numId w:val="14"/>
              </w:numPr>
              <w:spacing w:line="276" w:lineRule="auto"/>
              <w:jc w:val="both"/>
              <w:rPr>
                <w:rFonts w:cs="Arial"/>
              </w:rPr>
            </w:pPr>
            <w:r w:rsidRPr="00594446">
              <w:rPr>
                <w:rFonts w:cs="Arial"/>
              </w:rPr>
              <w:t xml:space="preserve">die vertraglichen Ziele (die Quantitäts- und Qualitätsziele, die Kostenziele, insbesondere die Kostenobergrenze, die Termine/Vertragsfristen) nicht einhält, ohne daran begründet gehindert zu sein, </w:t>
            </w:r>
          </w:p>
          <w:p w:rsidR="00806918" w:rsidRPr="00594446" w:rsidRDefault="00806918" w:rsidP="002C6A03">
            <w:pPr>
              <w:pStyle w:val="Kommentartext"/>
              <w:numPr>
                <w:ilvl w:val="0"/>
                <w:numId w:val="14"/>
              </w:numPr>
              <w:spacing w:line="276" w:lineRule="auto"/>
              <w:jc w:val="both"/>
              <w:rPr>
                <w:rFonts w:cs="Arial"/>
              </w:rPr>
            </w:pPr>
            <w:r w:rsidRPr="00594446">
              <w:rPr>
                <w:rFonts w:cs="Arial"/>
              </w:rPr>
              <w:t xml:space="preserve">erkannt hat, dass die Einhaltung der Vertragsziele gefährdet ist, den Auftraggeber jedoch darüber nicht unverzüglich unterrichtet hat, </w:t>
            </w:r>
          </w:p>
          <w:p w:rsidR="00806918" w:rsidRPr="00594446" w:rsidRDefault="00806918" w:rsidP="002C6A03">
            <w:pPr>
              <w:pStyle w:val="Kommentartext"/>
              <w:numPr>
                <w:ilvl w:val="0"/>
                <w:numId w:val="14"/>
              </w:numPr>
              <w:spacing w:line="276" w:lineRule="auto"/>
              <w:jc w:val="both"/>
              <w:rPr>
                <w:rFonts w:cs="Arial"/>
              </w:rPr>
            </w:pPr>
            <w:r w:rsidRPr="00594446">
              <w:rPr>
                <w:rFonts w:cs="Arial"/>
              </w:rPr>
              <w:t>seine Tätigkeit nicht rechtzeitig aufnimmt, sein gegebenenfalls vorzuhaltendes Baubüro nicht ordnungsgemäß personell und/oder sächlich ausgestattet vorhält,</w:t>
            </w:r>
          </w:p>
          <w:p w:rsidR="00806918" w:rsidRPr="00594446" w:rsidRDefault="00806918" w:rsidP="002C6A03">
            <w:pPr>
              <w:pStyle w:val="Kommentartext"/>
              <w:numPr>
                <w:ilvl w:val="0"/>
                <w:numId w:val="14"/>
              </w:numPr>
              <w:spacing w:line="276" w:lineRule="auto"/>
              <w:jc w:val="both"/>
              <w:rPr>
                <w:rFonts w:cs="Arial"/>
              </w:rPr>
            </w:pPr>
            <w:r w:rsidRPr="00594446">
              <w:rPr>
                <w:rFonts w:cs="Arial"/>
              </w:rPr>
              <w:t xml:space="preserve">mit seiner Leistungserbringung in Verzug gerät (Schuldnerverzug), </w:t>
            </w:r>
          </w:p>
          <w:p w:rsidR="00806918" w:rsidRPr="00594446" w:rsidRDefault="00806918" w:rsidP="002C6A03">
            <w:pPr>
              <w:pStyle w:val="Kommentartext"/>
              <w:numPr>
                <w:ilvl w:val="0"/>
                <w:numId w:val="14"/>
              </w:numPr>
              <w:spacing w:line="276" w:lineRule="auto"/>
              <w:jc w:val="both"/>
              <w:rPr>
                <w:rFonts w:cs="Arial"/>
              </w:rPr>
            </w:pPr>
            <w:r w:rsidRPr="00594446">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806918" w:rsidRPr="00594446" w:rsidRDefault="00806918" w:rsidP="002C6A03">
            <w:pPr>
              <w:pStyle w:val="Kommentartext"/>
              <w:numPr>
                <w:ilvl w:val="0"/>
                <w:numId w:val="14"/>
              </w:numPr>
              <w:spacing w:line="276" w:lineRule="auto"/>
              <w:jc w:val="both"/>
              <w:rPr>
                <w:rFonts w:cs="Arial"/>
              </w:rPr>
            </w:pPr>
            <w:r w:rsidRPr="00594446">
              <w:rPr>
                <w:rFonts w:cs="Arial"/>
              </w:rPr>
              <w:t>in sonstiger Weise wiederholt oder gravierend gegen die ihm vertraglich obliegenden Verpflichtungen verstößt,</w:t>
            </w:r>
          </w:p>
          <w:p w:rsidR="00806918" w:rsidRPr="00594446" w:rsidRDefault="00806918" w:rsidP="002C6A03">
            <w:pPr>
              <w:pStyle w:val="Kommentartext"/>
              <w:spacing w:line="276" w:lineRule="auto"/>
              <w:ind w:left="360"/>
              <w:jc w:val="both"/>
              <w:rPr>
                <w:rFonts w:cs="Arial"/>
              </w:rPr>
            </w:pPr>
            <w:r w:rsidRPr="00594446">
              <w:rPr>
                <w:rFonts w:cs="Arial"/>
              </w:rPr>
              <w:lastRenderedPageBreak/>
              <w:t>und</w:t>
            </w:r>
          </w:p>
          <w:p w:rsidR="00806918" w:rsidRPr="00594446" w:rsidRDefault="00806918" w:rsidP="002C6A03">
            <w:pPr>
              <w:pStyle w:val="Kommentartext"/>
              <w:numPr>
                <w:ilvl w:val="0"/>
                <w:numId w:val="14"/>
              </w:numPr>
              <w:spacing w:line="276" w:lineRule="auto"/>
              <w:jc w:val="both"/>
              <w:rPr>
                <w:rFonts w:cs="Arial"/>
              </w:rPr>
            </w:pPr>
            <w:r w:rsidRPr="00594446">
              <w:rPr>
                <w:rFonts w:cs="Arial"/>
              </w:rPr>
              <w:t>die jeweils dazu vom Auftraggeber gesetzte angemessene Frist mit Kündigungsandrohung zur Einhaltung, Nachholung oder Nacherfüllung seiner Verpflichtungen fruchtlos hat verstreichen lassen.</w:t>
            </w:r>
          </w:p>
          <w:p w:rsidR="00806918" w:rsidRPr="002C6A03" w:rsidRDefault="00806918" w:rsidP="002C6A03">
            <w:pPr>
              <w:pStyle w:val="Kommentartext"/>
              <w:spacing w:beforeLines="80" w:before="192" w:line="276" w:lineRule="auto"/>
              <w:jc w:val="both"/>
              <w:rPr>
                <w:rFonts w:cs="Arial"/>
              </w:rPr>
            </w:pPr>
            <w:r w:rsidRPr="00594446">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2C6A03" w:rsidRDefault="00EC3F37" w:rsidP="00CF6415">
      <w:pPr>
        <w:spacing w:line="276" w:lineRule="auto"/>
        <w:rPr>
          <w:rFonts w:ascii="Arial" w:hAnsi="Arial" w:cs="Arial"/>
          <w:sz w:val="20"/>
          <w:szCs w:val="20"/>
        </w:rPr>
      </w:pPr>
    </w:p>
    <w:sectPr w:rsidR="00EC3F37" w:rsidRPr="002C6A03"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41" w:rsidRDefault="00B13B41">
      <w:r>
        <w:separator/>
      </w:r>
    </w:p>
  </w:endnote>
  <w:endnote w:type="continuationSeparator" w:id="0">
    <w:p w:rsidR="00B13B41" w:rsidRDefault="00B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B13B41" w:rsidRPr="008F21C1" w:rsidTr="004B0C15">
      <w:tc>
        <w:tcPr>
          <w:tcW w:w="4605" w:type="dxa"/>
          <w:shd w:val="clear" w:color="auto" w:fill="auto"/>
        </w:tcPr>
        <w:p w:rsidR="00B13B41" w:rsidRPr="008F21C1" w:rsidRDefault="00B13B41" w:rsidP="00E63045">
          <w:pPr>
            <w:pStyle w:val="Fuzeile"/>
            <w:rPr>
              <w:rStyle w:val="Seitenzahl"/>
              <w:sz w:val="12"/>
              <w:szCs w:val="12"/>
            </w:rPr>
          </w:pPr>
          <w:r w:rsidRPr="008F21C1">
            <w:rPr>
              <w:rStyle w:val="Seitenzahl"/>
              <w:rFonts w:ascii="Arial" w:hAnsi="Arial" w:cs="Arial"/>
              <w:b/>
              <w:sz w:val="16"/>
              <w:szCs w:val="16"/>
            </w:rPr>
            <w:fldChar w:fldCharType="begin"/>
          </w:r>
          <w:r w:rsidRPr="008F21C1">
            <w:rPr>
              <w:rStyle w:val="Seitenzahl"/>
              <w:rFonts w:ascii="Arial" w:hAnsi="Arial" w:cs="Arial"/>
              <w:b/>
              <w:sz w:val="16"/>
              <w:szCs w:val="16"/>
            </w:rPr>
            <w:instrText xml:space="preserve"> PAGE </w:instrText>
          </w:r>
          <w:r w:rsidRPr="008F21C1">
            <w:rPr>
              <w:rStyle w:val="Seitenzahl"/>
              <w:rFonts w:ascii="Arial" w:hAnsi="Arial" w:cs="Arial"/>
              <w:b/>
              <w:sz w:val="16"/>
              <w:szCs w:val="16"/>
            </w:rPr>
            <w:fldChar w:fldCharType="separate"/>
          </w:r>
          <w:r w:rsidRPr="008F21C1">
            <w:rPr>
              <w:rStyle w:val="Seitenzahl"/>
              <w:rFonts w:ascii="Arial" w:hAnsi="Arial" w:cs="Arial"/>
              <w:b/>
              <w:noProof/>
              <w:sz w:val="16"/>
              <w:szCs w:val="16"/>
            </w:rPr>
            <w:t>9</w:t>
          </w:r>
          <w:r w:rsidRPr="008F21C1">
            <w:rPr>
              <w:rStyle w:val="Seitenzahl"/>
              <w:rFonts w:ascii="Arial" w:hAnsi="Arial" w:cs="Arial"/>
              <w:b/>
              <w:sz w:val="16"/>
              <w:szCs w:val="16"/>
            </w:rPr>
            <w:fldChar w:fldCharType="end"/>
          </w:r>
        </w:p>
      </w:tc>
      <w:tc>
        <w:tcPr>
          <w:tcW w:w="4605" w:type="dxa"/>
          <w:shd w:val="clear" w:color="auto" w:fill="auto"/>
        </w:tcPr>
        <w:p w:rsidR="00B13B41" w:rsidRPr="008F21C1" w:rsidRDefault="00B13B41" w:rsidP="004B0C15">
          <w:pPr>
            <w:pStyle w:val="Fuzeile"/>
            <w:jc w:val="right"/>
          </w:pPr>
          <w:r w:rsidRPr="008F21C1">
            <w:rPr>
              <w:rFonts w:ascii="Univers 55" w:hAnsi="Univers 55"/>
              <w:sz w:val="12"/>
              <w:szCs w:val="12"/>
            </w:rPr>
            <w:t>eingeführt mit Erlass des BMVBS vom 21.09.2010, Az.: B10-8111.1/0</w:t>
          </w:r>
        </w:p>
        <w:p w:rsidR="00B13B41" w:rsidRPr="008F21C1" w:rsidRDefault="00B13B41" w:rsidP="004B0C15">
          <w:pPr>
            <w:pStyle w:val="Fuzeile"/>
            <w:jc w:val="right"/>
            <w:rPr>
              <w:rStyle w:val="Seitenzahl"/>
              <w:rFonts w:ascii="Arial" w:hAnsi="Arial" w:cs="Arial"/>
              <w:b/>
              <w:sz w:val="16"/>
              <w:szCs w:val="16"/>
            </w:rPr>
          </w:pPr>
        </w:p>
      </w:tc>
    </w:tr>
  </w:tbl>
  <w:p w:rsidR="00B13B41" w:rsidRPr="008F21C1" w:rsidRDefault="00B13B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B13B41" w:rsidRPr="002C6A03" w:rsidTr="007E67FE">
      <w:tc>
        <w:tcPr>
          <w:tcW w:w="5920" w:type="dxa"/>
          <w:shd w:val="clear" w:color="auto" w:fill="auto"/>
        </w:tcPr>
        <w:p w:rsidR="00B13B41" w:rsidRPr="008F21C1" w:rsidRDefault="00B13B41">
          <w:pPr>
            <w:pStyle w:val="Fuzeile"/>
            <w:rPr>
              <w:rStyle w:val="Seitenzahl"/>
              <w:rFonts w:ascii="Arial" w:hAnsi="Arial" w:cs="Arial"/>
              <w:sz w:val="16"/>
              <w:szCs w:val="16"/>
            </w:rPr>
          </w:pPr>
          <w:r w:rsidRPr="008F21C1">
            <w:rPr>
              <w:rFonts w:ascii="Arial" w:hAnsi="Arial" w:cs="Arial"/>
              <w:bCs/>
              <w:sz w:val="16"/>
              <w:szCs w:val="16"/>
            </w:rPr>
            <w:t xml:space="preserve">© VHF Bayern – </w:t>
          </w:r>
          <w:r w:rsidR="00E81C91">
            <w:rPr>
              <w:rFonts w:ascii="Arial" w:hAnsi="Arial" w:cs="Arial"/>
              <w:bCs/>
              <w:sz w:val="16"/>
              <w:szCs w:val="16"/>
            </w:rPr>
            <w:t>St</w:t>
          </w:r>
          <w:r w:rsidR="00E81C91" w:rsidRPr="00E81C91">
            <w:rPr>
              <w:rFonts w:ascii="Arial" w:hAnsi="Arial" w:cs="Arial"/>
              <w:bCs/>
              <w:sz w:val="16"/>
              <w:szCs w:val="16"/>
            </w:rPr>
            <w:t xml:space="preserve">and </w:t>
          </w:r>
          <w:r w:rsidRPr="00E81C91">
            <w:rPr>
              <w:rFonts w:ascii="Arial" w:hAnsi="Arial" w:cs="Arial"/>
              <w:bCs/>
              <w:sz w:val="16"/>
              <w:szCs w:val="16"/>
            </w:rPr>
            <w:t>Mai 2021</w:t>
          </w:r>
        </w:p>
      </w:tc>
      <w:tc>
        <w:tcPr>
          <w:tcW w:w="3290" w:type="dxa"/>
          <w:shd w:val="clear" w:color="auto" w:fill="auto"/>
        </w:tcPr>
        <w:p w:rsidR="00B13B41" w:rsidRPr="002C6A03" w:rsidRDefault="00B13B41" w:rsidP="006909E8">
          <w:pPr>
            <w:pStyle w:val="Fuzeile"/>
            <w:jc w:val="right"/>
            <w:rPr>
              <w:rStyle w:val="Seitenzahl"/>
              <w:rFonts w:ascii="Arial" w:hAnsi="Arial" w:cs="Arial"/>
              <w:sz w:val="16"/>
              <w:szCs w:val="16"/>
            </w:rPr>
          </w:pPr>
          <w:r w:rsidRPr="008F21C1">
            <w:rPr>
              <w:rFonts w:ascii="Arial" w:hAnsi="Arial" w:cs="Arial"/>
              <w:bCs/>
              <w:sz w:val="16"/>
              <w:szCs w:val="16"/>
            </w:rPr>
            <w:fldChar w:fldCharType="begin"/>
          </w:r>
          <w:r w:rsidRPr="008F21C1">
            <w:rPr>
              <w:rFonts w:ascii="Arial" w:hAnsi="Arial" w:cs="Arial"/>
              <w:bCs/>
              <w:sz w:val="16"/>
              <w:szCs w:val="16"/>
            </w:rPr>
            <w:instrText>PAGE</w:instrText>
          </w:r>
          <w:r w:rsidRPr="008F21C1">
            <w:rPr>
              <w:rFonts w:ascii="Arial" w:hAnsi="Arial" w:cs="Arial"/>
              <w:bCs/>
              <w:sz w:val="16"/>
              <w:szCs w:val="16"/>
            </w:rPr>
            <w:fldChar w:fldCharType="separate"/>
          </w:r>
          <w:r w:rsidR="009A0876">
            <w:rPr>
              <w:rFonts w:ascii="Arial" w:hAnsi="Arial" w:cs="Arial"/>
              <w:bCs/>
              <w:noProof/>
              <w:sz w:val="16"/>
              <w:szCs w:val="16"/>
            </w:rPr>
            <w:t>1</w:t>
          </w:r>
          <w:r w:rsidRPr="008F21C1">
            <w:rPr>
              <w:rFonts w:ascii="Arial" w:hAnsi="Arial" w:cs="Arial"/>
              <w:sz w:val="16"/>
              <w:szCs w:val="16"/>
            </w:rPr>
            <w:fldChar w:fldCharType="end"/>
          </w:r>
          <w:r w:rsidRPr="008F21C1">
            <w:rPr>
              <w:rFonts w:ascii="Arial" w:hAnsi="Arial" w:cs="Arial"/>
              <w:bCs/>
              <w:sz w:val="16"/>
              <w:szCs w:val="16"/>
            </w:rPr>
            <w:t>/</w:t>
          </w:r>
          <w:r w:rsidRPr="008F21C1">
            <w:rPr>
              <w:rFonts w:ascii="Arial" w:hAnsi="Arial" w:cs="Arial"/>
              <w:bCs/>
              <w:sz w:val="16"/>
              <w:szCs w:val="16"/>
            </w:rPr>
            <w:fldChar w:fldCharType="begin"/>
          </w:r>
          <w:r w:rsidRPr="008F21C1">
            <w:rPr>
              <w:rFonts w:ascii="Arial" w:hAnsi="Arial" w:cs="Arial"/>
              <w:bCs/>
              <w:sz w:val="16"/>
              <w:szCs w:val="16"/>
            </w:rPr>
            <w:instrText>NUMPAGES</w:instrText>
          </w:r>
          <w:r w:rsidRPr="008F21C1">
            <w:rPr>
              <w:rFonts w:ascii="Arial" w:hAnsi="Arial" w:cs="Arial"/>
              <w:bCs/>
              <w:sz w:val="16"/>
              <w:szCs w:val="16"/>
            </w:rPr>
            <w:fldChar w:fldCharType="separate"/>
          </w:r>
          <w:r w:rsidR="009A0876">
            <w:rPr>
              <w:rFonts w:ascii="Arial" w:hAnsi="Arial" w:cs="Arial"/>
              <w:bCs/>
              <w:noProof/>
              <w:sz w:val="16"/>
              <w:szCs w:val="16"/>
            </w:rPr>
            <w:t>16</w:t>
          </w:r>
          <w:r w:rsidRPr="008F21C1">
            <w:rPr>
              <w:rFonts w:ascii="Arial" w:hAnsi="Arial" w:cs="Arial"/>
              <w:sz w:val="16"/>
              <w:szCs w:val="16"/>
            </w:rPr>
            <w:fldChar w:fldCharType="end"/>
          </w:r>
        </w:p>
      </w:tc>
    </w:tr>
  </w:tbl>
  <w:p w:rsidR="00B13B41" w:rsidRPr="007E67FE" w:rsidRDefault="00B13B41" w:rsidP="002C6A03">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41" w:rsidRDefault="00B13B41">
      <w:r>
        <w:separator/>
      </w:r>
    </w:p>
  </w:footnote>
  <w:footnote w:type="continuationSeparator" w:id="0">
    <w:p w:rsidR="00B13B41" w:rsidRDefault="00B13B41">
      <w:r>
        <w:continuationSeparator/>
      </w:r>
    </w:p>
  </w:footnote>
  <w:footnote w:id="1">
    <w:p w:rsidR="00B13B41" w:rsidRPr="002C6A03" w:rsidRDefault="00B13B41" w:rsidP="007B6503">
      <w:pPr>
        <w:pStyle w:val="Funotentext"/>
        <w:rPr>
          <w:rFonts w:ascii="Arial" w:hAnsi="Arial" w:cs="Arial"/>
        </w:rPr>
      </w:pPr>
      <w:r w:rsidRPr="002C6A03">
        <w:rPr>
          <w:rStyle w:val="Funotenzeichen"/>
          <w:rFonts w:ascii="Arial" w:hAnsi="Arial" w:cs="Arial"/>
        </w:rPr>
        <w:footnoteRef/>
      </w:r>
      <w:r w:rsidRPr="002C6A03">
        <w:rPr>
          <w:rFonts w:ascii="Arial" w:hAnsi="Arial" w:cs="Arial"/>
        </w:rPr>
        <w:t xml:space="preserve"> </w:t>
      </w:r>
      <w:r w:rsidRPr="002C6A03">
        <w:rPr>
          <w:rFonts w:ascii="Arial" w:hAnsi="Arial" w:cs="Arial"/>
          <w:sz w:val="16"/>
          <w:szCs w:val="16"/>
        </w:rPr>
        <w:t>Nur bei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B13B41">
      <w:trPr>
        <w:trHeight w:val="87"/>
      </w:trPr>
      <w:tc>
        <w:tcPr>
          <w:tcW w:w="4606" w:type="dxa"/>
        </w:tcPr>
        <w:p w:rsidR="00B13B41" w:rsidRDefault="00B13B41" w:rsidP="00E63045">
          <w:pPr>
            <w:pStyle w:val="Kopfzeile"/>
            <w:rPr>
              <w:sz w:val="14"/>
            </w:rPr>
          </w:pPr>
          <w:r>
            <w:rPr>
              <w:b/>
              <w:sz w:val="14"/>
            </w:rPr>
            <w:t>Anhang 14</w:t>
          </w:r>
        </w:p>
      </w:tc>
      <w:tc>
        <w:tcPr>
          <w:tcW w:w="4606" w:type="dxa"/>
        </w:tcPr>
        <w:p w:rsidR="00B13B41" w:rsidRPr="000651FD" w:rsidRDefault="00B13B41" w:rsidP="00E63045">
          <w:pPr>
            <w:pStyle w:val="Kopfzeile"/>
            <w:jc w:val="right"/>
            <w:rPr>
              <w:b/>
              <w:sz w:val="14"/>
            </w:rPr>
          </w:pPr>
        </w:p>
      </w:tc>
    </w:tr>
    <w:tr w:rsidR="00B13B41">
      <w:trPr>
        <w:trHeight w:val="87"/>
      </w:trPr>
      <w:tc>
        <w:tcPr>
          <w:tcW w:w="4606" w:type="dxa"/>
        </w:tcPr>
        <w:p w:rsidR="00B13B41" w:rsidRDefault="00B13B41" w:rsidP="00E63045">
          <w:pPr>
            <w:pStyle w:val="Kopfzeile"/>
            <w:rPr>
              <w:sz w:val="14"/>
            </w:rPr>
          </w:pPr>
          <w:r>
            <w:rPr>
              <w:b/>
              <w:sz w:val="14"/>
            </w:rPr>
            <w:t>BMVBW Jan 2011</w:t>
          </w:r>
        </w:p>
      </w:tc>
      <w:tc>
        <w:tcPr>
          <w:tcW w:w="4606" w:type="dxa"/>
        </w:tcPr>
        <w:p w:rsidR="00B13B41" w:rsidRPr="000651FD" w:rsidRDefault="00B13B41" w:rsidP="00E63045">
          <w:pPr>
            <w:pStyle w:val="Kopfzeile"/>
            <w:jc w:val="right"/>
            <w:rPr>
              <w:b/>
              <w:sz w:val="14"/>
            </w:rPr>
          </w:pPr>
        </w:p>
      </w:tc>
    </w:tr>
  </w:tbl>
  <w:p w:rsidR="00B13B41" w:rsidRDefault="00B13B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606"/>
      <w:gridCol w:w="4606"/>
    </w:tblGrid>
    <w:tr w:rsidR="00B13B41" w:rsidRPr="00E81C91" w:rsidTr="007C5249">
      <w:trPr>
        <w:trHeight w:val="240"/>
      </w:trPr>
      <w:tc>
        <w:tcPr>
          <w:tcW w:w="4606" w:type="dxa"/>
        </w:tcPr>
        <w:p w:rsidR="00B13B41" w:rsidRPr="002C6A03" w:rsidRDefault="00B13B41" w:rsidP="00FF1E14">
          <w:pPr>
            <w:pStyle w:val="Kopfzeile"/>
            <w:rPr>
              <w:rFonts w:ascii="Arial" w:hAnsi="Arial" w:cs="Arial"/>
              <w:color w:val="000000"/>
              <w:sz w:val="16"/>
              <w:szCs w:val="16"/>
            </w:rPr>
          </w:pPr>
        </w:p>
      </w:tc>
      <w:tc>
        <w:tcPr>
          <w:tcW w:w="4606" w:type="dxa"/>
        </w:tcPr>
        <w:p w:rsidR="00B13B41" w:rsidRPr="00E81C91" w:rsidRDefault="00B13B41" w:rsidP="00EB49AF">
          <w:pPr>
            <w:pStyle w:val="Kopfzeile"/>
            <w:jc w:val="right"/>
            <w:rPr>
              <w:rFonts w:ascii="Arial" w:hAnsi="Arial" w:cs="Arial"/>
              <w:b/>
              <w:sz w:val="28"/>
              <w:szCs w:val="28"/>
            </w:rPr>
          </w:pPr>
          <w:r w:rsidRPr="00E81C91">
            <w:rPr>
              <w:rFonts w:ascii="Arial" w:hAnsi="Arial" w:cs="Arial"/>
              <w:b/>
              <w:sz w:val="28"/>
              <w:szCs w:val="28"/>
            </w:rPr>
            <w:t xml:space="preserve">VII.14.0.H Bund </w:t>
          </w:r>
        </w:p>
        <w:p w:rsidR="00B13B41" w:rsidRPr="00E81C91" w:rsidRDefault="00B13B41">
          <w:pPr>
            <w:pStyle w:val="Kopfzeile"/>
            <w:jc w:val="right"/>
            <w:rPr>
              <w:rFonts w:ascii="Arial" w:hAnsi="Arial" w:cs="Arial"/>
              <w:sz w:val="16"/>
              <w:szCs w:val="16"/>
            </w:rPr>
          </w:pPr>
          <w:r w:rsidRPr="00E81C91">
            <w:rPr>
              <w:rFonts w:ascii="Arial" w:hAnsi="Arial" w:cs="Arial"/>
              <w:sz w:val="16"/>
              <w:szCs w:val="16"/>
            </w:rPr>
            <w:t>(Richtlinie Ingenieurbauwerke – Bund/Gaststreitkräfte)</w:t>
          </w:r>
        </w:p>
      </w:tc>
    </w:tr>
  </w:tbl>
  <w:p w:rsidR="00B13B41" w:rsidRPr="006909E8" w:rsidRDefault="00B13B41" w:rsidP="002C6A03">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C7679"/>
    <w:multiLevelType w:val="hybridMultilevel"/>
    <w:tmpl w:val="9B0CAD76"/>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171FF"/>
    <w:multiLevelType w:val="hybridMultilevel"/>
    <w:tmpl w:val="268AC47E"/>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21"/>
  </w:num>
  <w:num w:numId="3">
    <w:abstractNumId w:val="9"/>
  </w:num>
  <w:num w:numId="4">
    <w:abstractNumId w:val="19"/>
  </w:num>
  <w:num w:numId="5">
    <w:abstractNumId w:val="1"/>
  </w:num>
  <w:num w:numId="6">
    <w:abstractNumId w:val="26"/>
  </w:num>
  <w:num w:numId="7">
    <w:abstractNumId w:val="14"/>
  </w:num>
  <w:num w:numId="8">
    <w:abstractNumId w:val="8"/>
  </w:num>
  <w:num w:numId="9">
    <w:abstractNumId w:val="27"/>
  </w:num>
  <w:num w:numId="10">
    <w:abstractNumId w:val="3"/>
  </w:num>
  <w:num w:numId="11">
    <w:abstractNumId w:val="15"/>
  </w:num>
  <w:num w:numId="12">
    <w:abstractNumId w:val="16"/>
  </w:num>
  <w:num w:numId="13">
    <w:abstractNumId w:val="34"/>
  </w:num>
  <w:num w:numId="14">
    <w:abstractNumId w:val="22"/>
  </w:num>
  <w:num w:numId="15">
    <w:abstractNumId w:val="4"/>
  </w:num>
  <w:num w:numId="16">
    <w:abstractNumId w:val="25"/>
  </w:num>
  <w:num w:numId="17">
    <w:abstractNumId w:val="23"/>
  </w:num>
  <w:num w:numId="18">
    <w:abstractNumId w:val="24"/>
  </w:num>
  <w:num w:numId="19">
    <w:abstractNumId w:val="32"/>
  </w:num>
  <w:num w:numId="20">
    <w:abstractNumId w:val="33"/>
  </w:num>
  <w:num w:numId="21">
    <w:abstractNumId w:val="6"/>
  </w:num>
  <w:num w:numId="22">
    <w:abstractNumId w:val="29"/>
  </w:num>
  <w:num w:numId="23">
    <w:abstractNumId w:val="17"/>
  </w:num>
  <w:num w:numId="24">
    <w:abstractNumId w:val="20"/>
  </w:num>
  <w:num w:numId="25">
    <w:abstractNumId w:val="18"/>
  </w:num>
  <w:num w:numId="26">
    <w:abstractNumId w:val="3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1"/>
  </w:num>
  <w:num w:numId="32">
    <w:abstractNumId w:val="28"/>
  </w:num>
  <w:num w:numId="33">
    <w:abstractNumId w:val="7"/>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137F2"/>
    <w:rsid w:val="00013F8D"/>
    <w:rsid w:val="000150F3"/>
    <w:rsid w:val="000159DB"/>
    <w:rsid w:val="0001757B"/>
    <w:rsid w:val="00020C58"/>
    <w:rsid w:val="0002143D"/>
    <w:rsid w:val="00023A06"/>
    <w:rsid w:val="0002701F"/>
    <w:rsid w:val="00031DA9"/>
    <w:rsid w:val="0003620C"/>
    <w:rsid w:val="00040AEB"/>
    <w:rsid w:val="0004177A"/>
    <w:rsid w:val="00044EBB"/>
    <w:rsid w:val="000450F3"/>
    <w:rsid w:val="00047122"/>
    <w:rsid w:val="000472BF"/>
    <w:rsid w:val="00051AAC"/>
    <w:rsid w:val="00053A99"/>
    <w:rsid w:val="00055426"/>
    <w:rsid w:val="00057BEC"/>
    <w:rsid w:val="00060907"/>
    <w:rsid w:val="000621ED"/>
    <w:rsid w:val="000651FD"/>
    <w:rsid w:val="00065418"/>
    <w:rsid w:val="00072624"/>
    <w:rsid w:val="00074E54"/>
    <w:rsid w:val="000752AA"/>
    <w:rsid w:val="000810F2"/>
    <w:rsid w:val="000825B4"/>
    <w:rsid w:val="00082FAF"/>
    <w:rsid w:val="00087484"/>
    <w:rsid w:val="000975E6"/>
    <w:rsid w:val="000976E5"/>
    <w:rsid w:val="000A1DC1"/>
    <w:rsid w:val="000A463C"/>
    <w:rsid w:val="000A5E69"/>
    <w:rsid w:val="000B2571"/>
    <w:rsid w:val="000C0CF9"/>
    <w:rsid w:val="000C16F1"/>
    <w:rsid w:val="000C1DBA"/>
    <w:rsid w:val="000C2B9D"/>
    <w:rsid w:val="000C47C2"/>
    <w:rsid w:val="000C61CE"/>
    <w:rsid w:val="000C6D13"/>
    <w:rsid w:val="000D0BE0"/>
    <w:rsid w:val="000D0F2D"/>
    <w:rsid w:val="000D237E"/>
    <w:rsid w:val="000D3245"/>
    <w:rsid w:val="000D3FFD"/>
    <w:rsid w:val="000D5089"/>
    <w:rsid w:val="000D5645"/>
    <w:rsid w:val="000E0299"/>
    <w:rsid w:val="000E0953"/>
    <w:rsid w:val="000E7D40"/>
    <w:rsid w:val="000E7F73"/>
    <w:rsid w:val="000F111E"/>
    <w:rsid w:val="000F4392"/>
    <w:rsid w:val="00105C81"/>
    <w:rsid w:val="00106D91"/>
    <w:rsid w:val="00111E96"/>
    <w:rsid w:val="00111FC1"/>
    <w:rsid w:val="001126E9"/>
    <w:rsid w:val="0011307F"/>
    <w:rsid w:val="00116F8E"/>
    <w:rsid w:val="00117790"/>
    <w:rsid w:val="0012148C"/>
    <w:rsid w:val="00122668"/>
    <w:rsid w:val="00126056"/>
    <w:rsid w:val="00126269"/>
    <w:rsid w:val="00137B3C"/>
    <w:rsid w:val="00143CB9"/>
    <w:rsid w:val="00145869"/>
    <w:rsid w:val="00147825"/>
    <w:rsid w:val="00151CC0"/>
    <w:rsid w:val="001544C1"/>
    <w:rsid w:val="00155BD1"/>
    <w:rsid w:val="00156727"/>
    <w:rsid w:val="00157E2E"/>
    <w:rsid w:val="00166DA2"/>
    <w:rsid w:val="00170817"/>
    <w:rsid w:val="00170A7A"/>
    <w:rsid w:val="001732E3"/>
    <w:rsid w:val="0018251D"/>
    <w:rsid w:val="00182618"/>
    <w:rsid w:val="001852A2"/>
    <w:rsid w:val="00185978"/>
    <w:rsid w:val="00187F60"/>
    <w:rsid w:val="001955D0"/>
    <w:rsid w:val="001A298E"/>
    <w:rsid w:val="001A4AD9"/>
    <w:rsid w:val="001B0FD4"/>
    <w:rsid w:val="001B696C"/>
    <w:rsid w:val="001C02D7"/>
    <w:rsid w:val="001C0D48"/>
    <w:rsid w:val="001C2454"/>
    <w:rsid w:val="001C3C26"/>
    <w:rsid w:val="001C5336"/>
    <w:rsid w:val="001D6B8D"/>
    <w:rsid w:val="001E1E28"/>
    <w:rsid w:val="001E3C7B"/>
    <w:rsid w:val="001E64C6"/>
    <w:rsid w:val="001F16A9"/>
    <w:rsid w:val="001F6F11"/>
    <w:rsid w:val="00201175"/>
    <w:rsid w:val="00201644"/>
    <w:rsid w:val="00201B7F"/>
    <w:rsid w:val="0020229C"/>
    <w:rsid w:val="00203B67"/>
    <w:rsid w:val="00204D32"/>
    <w:rsid w:val="0020519F"/>
    <w:rsid w:val="002054C2"/>
    <w:rsid w:val="002072A4"/>
    <w:rsid w:val="002125E2"/>
    <w:rsid w:val="00215F19"/>
    <w:rsid w:val="0021788D"/>
    <w:rsid w:val="00221803"/>
    <w:rsid w:val="002250B9"/>
    <w:rsid w:val="0022688B"/>
    <w:rsid w:val="0023149F"/>
    <w:rsid w:val="00232A38"/>
    <w:rsid w:val="00232E1C"/>
    <w:rsid w:val="002372AE"/>
    <w:rsid w:val="002429B9"/>
    <w:rsid w:val="002537D1"/>
    <w:rsid w:val="002553A3"/>
    <w:rsid w:val="00260D50"/>
    <w:rsid w:val="00262B0F"/>
    <w:rsid w:val="00265399"/>
    <w:rsid w:val="002700A6"/>
    <w:rsid w:val="002716E6"/>
    <w:rsid w:val="0027257C"/>
    <w:rsid w:val="00272A9B"/>
    <w:rsid w:val="002768D0"/>
    <w:rsid w:val="0028137F"/>
    <w:rsid w:val="002815BA"/>
    <w:rsid w:val="00282459"/>
    <w:rsid w:val="002850E5"/>
    <w:rsid w:val="00286CF6"/>
    <w:rsid w:val="0029397C"/>
    <w:rsid w:val="00294BE7"/>
    <w:rsid w:val="00296DBC"/>
    <w:rsid w:val="002A018E"/>
    <w:rsid w:val="002A1CE3"/>
    <w:rsid w:val="002A3847"/>
    <w:rsid w:val="002A4AFE"/>
    <w:rsid w:val="002A777F"/>
    <w:rsid w:val="002A797F"/>
    <w:rsid w:val="002B19B4"/>
    <w:rsid w:val="002B6907"/>
    <w:rsid w:val="002C1220"/>
    <w:rsid w:val="002C2768"/>
    <w:rsid w:val="002C4757"/>
    <w:rsid w:val="002C5FAA"/>
    <w:rsid w:val="002C6A03"/>
    <w:rsid w:val="002C751B"/>
    <w:rsid w:val="002C7620"/>
    <w:rsid w:val="002D114B"/>
    <w:rsid w:val="002D272D"/>
    <w:rsid w:val="002E3AA2"/>
    <w:rsid w:val="002E4EF0"/>
    <w:rsid w:val="002F108F"/>
    <w:rsid w:val="002F187E"/>
    <w:rsid w:val="002F3664"/>
    <w:rsid w:val="0030448E"/>
    <w:rsid w:val="003144A0"/>
    <w:rsid w:val="003235B4"/>
    <w:rsid w:val="003309DF"/>
    <w:rsid w:val="00330AC5"/>
    <w:rsid w:val="00333470"/>
    <w:rsid w:val="00336F34"/>
    <w:rsid w:val="003401A8"/>
    <w:rsid w:val="00340E3F"/>
    <w:rsid w:val="003423A5"/>
    <w:rsid w:val="003467A0"/>
    <w:rsid w:val="00347906"/>
    <w:rsid w:val="003511FA"/>
    <w:rsid w:val="00351A85"/>
    <w:rsid w:val="00352D3B"/>
    <w:rsid w:val="00356FC0"/>
    <w:rsid w:val="003601E6"/>
    <w:rsid w:val="00360E28"/>
    <w:rsid w:val="003632FB"/>
    <w:rsid w:val="003652AD"/>
    <w:rsid w:val="00365F59"/>
    <w:rsid w:val="0036688F"/>
    <w:rsid w:val="00371F7D"/>
    <w:rsid w:val="003730FE"/>
    <w:rsid w:val="003742C2"/>
    <w:rsid w:val="00374B7B"/>
    <w:rsid w:val="003778D8"/>
    <w:rsid w:val="003831B0"/>
    <w:rsid w:val="00383FFC"/>
    <w:rsid w:val="003851F6"/>
    <w:rsid w:val="003903E1"/>
    <w:rsid w:val="0039083D"/>
    <w:rsid w:val="00393CB0"/>
    <w:rsid w:val="003951E5"/>
    <w:rsid w:val="00395C75"/>
    <w:rsid w:val="003A1573"/>
    <w:rsid w:val="003A4BA2"/>
    <w:rsid w:val="003B1A2A"/>
    <w:rsid w:val="003B208A"/>
    <w:rsid w:val="003B2E2E"/>
    <w:rsid w:val="003B313D"/>
    <w:rsid w:val="003C09A7"/>
    <w:rsid w:val="003C1733"/>
    <w:rsid w:val="003C28B7"/>
    <w:rsid w:val="003C6DA7"/>
    <w:rsid w:val="003D18F6"/>
    <w:rsid w:val="003D3B8E"/>
    <w:rsid w:val="003D4C45"/>
    <w:rsid w:val="003D5E84"/>
    <w:rsid w:val="003E01FF"/>
    <w:rsid w:val="003E041E"/>
    <w:rsid w:val="003E207D"/>
    <w:rsid w:val="003E2972"/>
    <w:rsid w:val="003E33B4"/>
    <w:rsid w:val="003E775B"/>
    <w:rsid w:val="003F0D15"/>
    <w:rsid w:val="003F5D6B"/>
    <w:rsid w:val="003F666A"/>
    <w:rsid w:val="003F78E9"/>
    <w:rsid w:val="00403841"/>
    <w:rsid w:val="00424992"/>
    <w:rsid w:val="0042659A"/>
    <w:rsid w:val="00433E14"/>
    <w:rsid w:val="00434E68"/>
    <w:rsid w:val="00442D75"/>
    <w:rsid w:val="00444F54"/>
    <w:rsid w:val="00445D1F"/>
    <w:rsid w:val="004470C0"/>
    <w:rsid w:val="00450C44"/>
    <w:rsid w:val="00455114"/>
    <w:rsid w:val="00455D4C"/>
    <w:rsid w:val="00456000"/>
    <w:rsid w:val="00461A16"/>
    <w:rsid w:val="00464939"/>
    <w:rsid w:val="00467140"/>
    <w:rsid w:val="004702F8"/>
    <w:rsid w:val="004705D5"/>
    <w:rsid w:val="00473981"/>
    <w:rsid w:val="004747CC"/>
    <w:rsid w:val="00475672"/>
    <w:rsid w:val="0047577B"/>
    <w:rsid w:val="00475D65"/>
    <w:rsid w:val="00481EAF"/>
    <w:rsid w:val="00482D79"/>
    <w:rsid w:val="0048311A"/>
    <w:rsid w:val="00485702"/>
    <w:rsid w:val="004A1523"/>
    <w:rsid w:val="004A4741"/>
    <w:rsid w:val="004B040F"/>
    <w:rsid w:val="004B0C15"/>
    <w:rsid w:val="004B536E"/>
    <w:rsid w:val="004B5568"/>
    <w:rsid w:val="004B5E48"/>
    <w:rsid w:val="004C1D9D"/>
    <w:rsid w:val="004C2792"/>
    <w:rsid w:val="004D2CB7"/>
    <w:rsid w:val="004D44A2"/>
    <w:rsid w:val="004D4BCF"/>
    <w:rsid w:val="004D5521"/>
    <w:rsid w:val="004D7C81"/>
    <w:rsid w:val="004E5C4C"/>
    <w:rsid w:val="004E6240"/>
    <w:rsid w:val="0050022E"/>
    <w:rsid w:val="00506F6A"/>
    <w:rsid w:val="00510F46"/>
    <w:rsid w:val="00510FB6"/>
    <w:rsid w:val="0052355B"/>
    <w:rsid w:val="00524775"/>
    <w:rsid w:val="0052492A"/>
    <w:rsid w:val="0052573C"/>
    <w:rsid w:val="00526BDF"/>
    <w:rsid w:val="00534D05"/>
    <w:rsid w:val="00534D9C"/>
    <w:rsid w:val="00535540"/>
    <w:rsid w:val="00535A20"/>
    <w:rsid w:val="00537019"/>
    <w:rsid w:val="005402B2"/>
    <w:rsid w:val="00545E77"/>
    <w:rsid w:val="0055723A"/>
    <w:rsid w:val="00563394"/>
    <w:rsid w:val="005643F2"/>
    <w:rsid w:val="00564A69"/>
    <w:rsid w:val="00564AF1"/>
    <w:rsid w:val="00567954"/>
    <w:rsid w:val="00573551"/>
    <w:rsid w:val="00573792"/>
    <w:rsid w:val="0057396B"/>
    <w:rsid w:val="00573A1F"/>
    <w:rsid w:val="005745FD"/>
    <w:rsid w:val="00574AA5"/>
    <w:rsid w:val="005766CE"/>
    <w:rsid w:val="00584982"/>
    <w:rsid w:val="00584BFD"/>
    <w:rsid w:val="005857AD"/>
    <w:rsid w:val="00586AAE"/>
    <w:rsid w:val="00587057"/>
    <w:rsid w:val="00593F61"/>
    <w:rsid w:val="00594446"/>
    <w:rsid w:val="005A0288"/>
    <w:rsid w:val="005A3315"/>
    <w:rsid w:val="005A4904"/>
    <w:rsid w:val="005A4F17"/>
    <w:rsid w:val="005A6290"/>
    <w:rsid w:val="005B0F9F"/>
    <w:rsid w:val="005B5834"/>
    <w:rsid w:val="005B6FE1"/>
    <w:rsid w:val="005C2A37"/>
    <w:rsid w:val="005C3041"/>
    <w:rsid w:val="005C4660"/>
    <w:rsid w:val="005C5D6D"/>
    <w:rsid w:val="005C78B3"/>
    <w:rsid w:val="005D0695"/>
    <w:rsid w:val="005D0D82"/>
    <w:rsid w:val="005D3234"/>
    <w:rsid w:val="005D3775"/>
    <w:rsid w:val="005D4954"/>
    <w:rsid w:val="005D5EAE"/>
    <w:rsid w:val="005E2482"/>
    <w:rsid w:val="005E298E"/>
    <w:rsid w:val="005E2DC4"/>
    <w:rsid w:val="005E4C83"/>
    <w:rsid w:val="005E7987"/>
    <w:rsid w:val="005F016E"/>
    <w:rsid w:val="005F202F"/>
    <w:rsid w:val="005F2798"/>
    <w:rsid w:val="005F725D"/>
    <w:rsid w:val="00600634"/>
    <w:rsid w:val="00601D77"/>
    <w:rsid w:val="00611C0F"/>
    <w:rsid w:val="0061276C"/>
    <w:rsid w:val="00613AC9"/>
    <w:rsid w:val="00616639"/>
    <w:rsid w:val="0062056F"/>
    <w:rsid w:val="00625634"/>
    <w:rsid w:val="006278E2"/>
    <w:rsid w:val="00630E3C"/>
    <w:rsid w:val="0064224D"/>
    <w:rsid w:val="006522DD"/>
    <w:rsid w:val="0065453C"/>
    <w:rsid w:val="006567F6"/>
    <w:rsid w:val="00657FC7"/>
    <w:rsid w:val="006605F5"/>
    <w:rsid w:val="00667825"/>
    <w:rsid w:val="0067023C"/>
    <w:rsid w:val="00670621"/>
    <w:rsid w:val="006735C4"/>
    <w:rsid w:val="00675396"/>
    <w:rsid w:val="006761EB"/>
    <w:rsid w:val="00676837"/>
    <w:rsid w:val="0067748D"/>
    <w:rsid w:val="00680BAD"/>
    <w:rsid w:val="006836BE"/>
    <w:rsid w:val="006909E8"/>
    <w:rsid w:val="00690A39"/>
    <w:rsid w:val="00694E91"/>
    <w:rsid w:val="006960F5"/>
    <w:rsid w:val="0069634D"/>
    <w:rsid w:val="006972A6"/>
    <w:rsid w:val="006A3F62"/>
    <w:rsid w:val="006A55B2"/>
    <w:rsid w:val="006B0045"/>
    <w:rsid w:val="006B00C9"/>
    <w:rsid w:val="006B19B0"/>
    <w:rsid w:val="006B2E44"/>
    <w:rsid w:val="006B4983"/>
    <w:rsid w:val="006C2482"/>
    <w:rsid w:val="006C6E6E"/>
    <w:rsid w:val="006D1CCD"/>
    <w:rsid w:val="006D52AC"/>
    <w:rsid w:val="006D55D1"/>
    <w:rsid w:val="006D57E1"/>
    <w:rsid w:val="006D6EB7"/>
    <w:rsid w:val="006E5737"/>
    <w:rsid w:val="006E7CA1"/>
    <w:rsid w:val="006F0875"/>
    <w:rsid w:val="006F2AF2"/>
    <w:rsid w:val="006F4B28"/>
    <w:rsid w:val="006F5610"/>
    <w:rsid w:val="00705307"/>
    <w:rsid w:val="00705899"/>
    <w:rsid w:val="007063E7"/>
    <w:rsid w:val="007068D1"/>
    <w:rsid w:val="00711DE6"/>
    <w:rsid w:val="007136F1"/>
    <w:rsid w:val="0071583C"/>
    <w:rsid w:val="00723949"/>
    <w:rsid w:val="00730A13"/>
    <w:rsid w:val="00730B50"/>
    <w:rsid w:val="00735C14"/>
    <w:rsid w:val="00740163"/>
    <w:rsid w:val="00741BCA"/>
    <w:rsid w:val="00755827"/>
    <w:rsid w:val="00756393"/>
    <w:rsid w:val="00761C8D"/>
    <w:rsid w:val="00763248"/>
    <w:rsid w:val="007648E5"/>
    <w:rsid w:val="00772847"/>
    <w:rsid w:val="00782F12"/>
    <w:rsid w:val="00783AED"/>
    <w:rsid w:val="00795D1D"/>
    <w:rsid w:val="0079717D"/>
    <w:rsid w:val="007A171C"/>
    <w:rsid w:val="007A20B7"/>
    <w:rsid w:val="007A2C1E"/>
    <w:rsid w:val="007A71DC"/>
    <w:rsid w:val="007B3BBD"/>
    <w:rsid w:val="007B6503"/>
    <w:rsid w:val="007C0255"/>
    <w:rsid w:val="007C0A56"/>
    <w:rsid w:val="007C3DEF"/>
    <w:rsid w:val="007C5249"/>
    <w:rsid w:val="007C6482"/>
    <w:rsid w:val="007D0A63"/>
    <w:rsid w:val="007D5658"/>
    <w:rsid w:val="007D7E38"/>
    <w:rsid w:val="007E0F11"/>
    <w:rsid w:val="007E1348"/>
    <w:rsid w:val="007E5337"/>
    <w:rsid w:val="007E6627"/>
    <w:rsid w:val="007E67FE"/>
    <w:rsid w:val="007F0834"/>
    <w:rsid w:val="007F0B18"/>
    <w:rsid w:val="007F2754"/>
    <w:rsid w:val="007F283A"/>
    <w:rsid w:val="007F44E3"/>
    <w:rsid w:val="007F7256"/>
    <w:rsid w:val="0080202D"/>
    <w:rsid w:val="00806918"/>
    <w:rsid w:val="00807478"/>
    <w:rsid w:val="00813072"/>
    <w:rsid w:val="008203CD"/>
    <w:rsid w:val="00820D11"/>
    <w:rsid w:val="00825806"/>
    <w:rsid w:val="008263BF"/>
    <w:rsid w:val="00827177"/>
    <w:rsid w:val="00827F89"/>
    <w:rsid w:val="00831DE6"/>
    <w:rsid w:val="0083714F"/>
    <w:rsid w:val="00841DAA"/>
    <w:rsid w:val="00841E0F"/>
    <w:rsid w:val="00842284"/>
    <w:rsid w:val="00843319"/>
    <w:rsid w:val="00846245"/>
    <w:rsid w:val="00846B9E"/>
    <w:rsid w:val="00851C44"/>
    <w:rsid w:val="008523F2"/>
    <w:rsid w:val="00853EAB"/>
    <w:rsid w:val="008606B7"/>
    <w:rsid w:val="00861C7E"/>
    <w:rsid w:val="0086378C"/>
    <w:rsid w:val="00864E89"/>
    <w:rsid w:val="00865426"/>
    <w:rsid w:val="00866E0A"/>
    <w:rsid w:val="00872740"/>
    <w:rsid w:val="008752C1"/>
    <w:rsid w:val="00880223"/>
    <w:rsid w:val="008816D7"/>
    <w:rsid w:val="00882947"/>
    <w:rsid w:val="00883E74"/>
    <w:rsid w:val="008855AB"/>
    <w:rsid w:val="00886095"/>
    <w:rsid w:val="00895AF7"/>
    <w:rsid w:val="008964C0"/>
    <w:rsid w:val="00897098"/>
    <w:rsid w:val="008A38D7"/>
    <w:rsid w:val="008A69E2"/>
    <w:rsid w:val="008A6B23"/>
    <w:rsid w:val="008B31E2"/>
    <w:rsid w:val="008B3D8C"/>
    <w:rsid w:val="008B4455"/>
    <w:rsid w:val="008B58F3"/>
    <w:rsid w:val="008C1350"/>
    <w:rsid w:val="008C1361"/>
    <w:rsid w:val="008C1C39"/>
    <w:rsid w:val="008D0A5F"/>
    <w:rsid w:val="008D59AB"/>
    <w:rsid w:val="008E0EA0"/>
    <w:rsid w:val="008E6A0B"/>
    <w:rsid w:val="008F0AAF"/>
    <w:rsid w:val="008F21C1"/>
    <w:rsid w:val="008F29EC"/>
    <w:rsid w:val="008F2E90"/>
    <w:rsid w:val="008F471D"/>
    <w:rsid w:val="008F6A51"/>
    <w:rsid w:val="008F6EDA"/>
    <w:rsid w:val="0090065E"/>
    <w:rsid w:val="00902E32"/>
    <w:rsid w:val="009042BD"/>
    <w:rsid w:val="00905017"/>
    <w:rsid w:val="00907435"/>
    <w:rsid w:val="00907475"/>
    <w:rsid w:val="00913D38"/>
    <w:rsid w:val="009156FD"/>
    <w:rsid w:val="00916E34"/>
    <w:rsid w:val="00917F68"/>
    <w:rsid w:val="00922159"/>
    <w:rsid w:val="00924285"/>
    <w:rsid w:val="009249B4"/>
    <w:rsid w:val="009270C5"/>
    <w:rsid w:val="0093024F"/>
    <w:rsid w:val="00930E0C"/>
    <w:rsid w:val="0094037F"/>
    <w:rsid w:val="00940C0C"/>
    <w:rsid w:val="00941633"/>
    <w:rsid w:val="0094357D"/>
    <w:rsid w:val="009446F3"/>
    <w:rsid w:val="00946AA7"/>
    <w:rsid w:val="00953996"/>
    <w:rsid w:val="009544F8"/>
    <w:rsid w:val="00955A19"/>
    <w:rsid w:val="00956876"/>
    <w:rsid w:val="00957ED4"/>
    <w:rsid w:val="0096041C"/>
    <w:rsid w:val="00962E47"/>
    <w:rsid w:val="00963864"/>
    <w:rsid w:val="00963CD9"/>
    <w:rsid w:val="00964006"/>
    <w:rsid w:val="00964A07"/>
    <w:rsid w:val="0096602C"/>
    <w:rsid w:val="0096736D"/>
    <w:rsid w:val="00970789"/>
    <w:rsid w:val="00970AF4"/>
    <w:rsid w:val="00971B64"/>
    <w:rsid w:val="009729BF"/>
    <w:rsid w:val="00972FDD"/>
    <w:rsid w:val="00976524"/>
    <w:rsid w:val="00984A0B"/>
    <w:rsid w:val="009865E5"/>
    <w:rsid w:val="00986B8D"/>
    <w:rsid w:val="00991461"/>
    <w:rsid w:val="00994946"/>
    <w:rsid w:val="009A0876"/>
    <w:rsid w:val="009A11A5"/>
    <w:rsid w:val="009A48F7"/>
    <w:rsid w:val="009A6FC7"/>
    <w:rsid w:val="009B45C5"/>
    <w:rsid w:val="009B5EBA"/>
    <w:rsid w:val="009B76AE"/>
    <w:rsid w:val="009B79E5"/>
    <w:rsid w:val="009C4474"/>
    <w:rsid w:val="009C5791"/>
    <w:rsid w:val="009C6543"/>
    <w:rsid w:val="009C7B65"/>
    <w:rsid w:val="009C7EF9"/>
    <w:rsid w:val="009D1B38"/>
    <w:rsid w:val="009D3320"/>
    <w:rsid w:val="009D6D7F"/>
    <w:rsid w:val="009D7ABC"/>
    <w:rsid w:val="009E4D5C"/>
    <w:rsid w:val="009F31E1"/>
    <w:rsid w:val="009F5954"/>
    <w:rsid w:val="009F6A73"/>
    <w:rsid w:val="00A0151F"/>
    <w:rsid w:val="00A04C20"/>
    <w:rsid w:val="00A0513F"/>
    <w:rsid w:val="00A06F74"/>
    <w:rsid w:val="00A14769"/>
    <w:rsid w:val="00A16F28"/>
    <w:rsid w:val="00A216EF"/>
    <w:rsid w:val="00A22246"/>
    <w:rsid w:val="00A223CF"/>
    <w:rsid w:val="00A23E5D"/>
    <w:rsid w:val="00A24A29"/>
    <w:rsid w:val="00A24E35"/>
    <w:rsid w:val="00A25441"/>
    <w:rsid w:val="00A37A82"/>
    <w:rsid w:val="00A37F9F"/>
    <w:rsid w:val="00A42C93"/>
    <w:rsid w:val="00A4458E"/>
    <w:rsid w:val="00A562C4"/>
    <w:rsid w:val="00A56D2C"/>
    <w:rsid w:val="00A61E94"/>
    <w:rsid w:val="00A63BD6"/>
    <w:rsid w:val="00A65A9D"/>
    <w:rsid w:val="00A7073C"/>
    <w:rsid w:val="00A71672"/>
    <w:rsid w:val="00A72B17"/>
    <w:rsid w:val="00A73184"/>
    <w:rsid w:val="00A7376C"/>
    <w:rsid w:val="00A75425"/>
    <w:rsid w:val="00A80867"/>
    <w:rsid w:val="00A94D21"/>
    <w:rsid w:val="00A95874"/>
    <w:rsid w:val="00AA7BA6"/>
    <w:rsid w:val="00AB0622"/>
    <w:rsid w:val="00AB35D2"/>
    <w:rsid w:val="00AB41C2"/>
    <w:rsid w:val="00AB4448"/>
    <w:rsid w:val="00AB5716"/>
    <w:rsid w:val="00AC626A"/>
    <w:rsid w:val="00AC7373"/>
    <w:rsid w:val="00AD14AC"/>
    <w:rsid w:val="00AD76B3"/>
    <w:rsid w:val="00AE2D57"/>
    <w:rsid w:val="00AE3CFC"/>
    <w:rsid w:val="00AE4703"/>
    <w:rsid w:val="00AE6BD5"/>
    <w:rsid w:val="00AF0AC8"/>
    <w:rsid w:val="00AF2D2A"/>
    <w:rsid w:val="00AF358E"/>
    <w:rsid w:val="00AF3AC6"/>
    <w:rsid w:val="00AF4293"/>
    <w:rsid w:val="00B06DD7"/>
    <w:rsid w:val="00B120CE"/>
    <w:rsid w:val="00B13B41"/>
    <w:rsid w:val="00B16090"/>
    <w:rsid w:val="00B22097"/>
    <w:rsid w:val="00B23BDA"/>
    <w:rsid w:val="00B273B5"/>
    <w:rsid w:val="00B308ED"/>
    <w:rsid w:val="00B3323E"/>
    <w:rsid w:val="00B34F28"/>
    <w:rsid w:val="00B41043"/>
    <w:rsid w:val="00B44C8C"/>
    <w:rsid w:val="00B457C0"/>
    <w:rsid w:val="00B469FD"/>
    <w:rsid w:val="00B46AF2"/>
    <w:rsid w:val="00B51B17"/>
    <w:rsid w:val="00B53201"/>
    <w:rsid w:val="00B54ACD"/>
    <w:rsid w:val="00B54BB0"/>
    <w:rsid w:val="00B56DE7"/>
    <w:rsid w:val="00B56EBD"/>
    <w:rsid w:val="00B60128"/>
    <w:rsid w:val="00B633B1"/>
    <w:rsid w:val="00B700D2"/>
    <w:rsid w:val="00B76346"/>
    <w:rsid w:val="00B765A3"/>
    <w:rsid w:val="00B83856"/>
    <w:rsid w:val="00B87A0F"/>
    <w:rsid w:val="00B95A2F"/>
    <w:rsid w:val="00BA36DD"/>
    <w:rsid w:val="00BA3AE8"/>
    <w:rsid w:val="00BA42E8"/>
    <w:rsid w:val="00BA5718"/>
    <w:rsid w:val="00BB3BD7"/>
    <w:rsid w:val="00BB4BBF"/>
    <w:rsid w:val="00BB6FEF"/>
    <w:rsid w:val="00BC1B21"/>
    <w:rsid w:val="00BC24DF"/>
    <w:rsid w:val="00BC4889"/>
    <w:rsid w:val="00BC743F"/>
    <w:rsid w:val="00BD1477"/>
    <w:rsid w:val="00BD1D6B"/>
    <w:rsid w:val="00BD2578"/>
    <w:rsid w:val="00BD6C55"/>
    <w:rsid w:val="00BD7834"/>
    <w:rsid w:val="00BE00C3"/>
    <w:rsid w:val="00BE25CE"/>
    <w:rsid w:val="00BE362D"/>
    <w:rsid w:val="00BE39A2"/>
    <w:rsid w:val="00BE3B42"/>
    <w:rsid w:val="00BE40CF"/>
    <w:rsid w:val="00BE61DC"/>
    <w:rsid w:val="00BE6DCC"/>
    <w:rsid w:val="00BE7D8F"/>
    <w:rsid w:val="00BF1CD9"/>
    <w:rsid w:val="00BF3F2B"/>
    <w:rsid w:val="00BF5CE5"/>
    <w:rsid w:val="00BF6009"/>
    <w:rsid w:val="00BF7C5F"/>
    <w:rsid w:val="00C03204"/>
    <w:rsid w:val="00C07CF1"/>
    <w:rsid w:val="00C07E83"/>
    <w:rsid w:val="00C21795"/>
    <w:rsid w:val="00C22F50"/>
    <w:rsid w:val="00C23995"/>
    <w:rsid w:val="00C24D91"/>
    <w:rsid w:val="00C33E2A"/>
    <w:rsid w:val="00C36595"/>
    <w:rsid w:val="00C42B65"/>
    <w:rsid w:val="00C43684"/>
    <w:rsid w:val="00C45674"/>
    <w:rsid w:val="00C47E39"/>
    <w:rsid w:val="00C50127"/>
    <w:rsid w:val="00C504EE"/>
    <w:rsid w:val="00C515B5"/>
    <w:rsid w:val="00C563E6"/>
    <w:rsid w:val="00C569A8"/>
    <w:rsid w:val="00C60468"/>
    <w:rsid w:val="00C642A7"/>
    <w:rsid w:val="00C66C6E"/>
    <w:rsid w:val="00C705B3"/>
    <w:rsid w:val="00C70870"/>
    <w:rsid w:val="00C77B77"/>
    <w:rsid w:val="00C834DA"/>
    <w:rsid w:val="00C841BF"/>
    <w:rsid w:val="00C87596"/>
    <w:rsid w:val="00C87CCE"/>
    <w:rsid w:val="00C90C7A"/>
    <w:rsid w:val="00C9552B"/>
    <w:rsid w:val="00CA1F40"/>
    <w:rsid w:val="00CA490B"/>
    <w:rsid w:val="00CA5471"/>
    <w:rsid w:val="00CB1BA3"/>
    <w:rsid w:val="00CB4767"/>
    <w:rsid w:val="00CB7EAE"/>
    <w:rsid w:val="00CB7FE9"/>
    <w:rsid w:val="00CC23CB"/>
    <w:rsid w:val="00CD1BDB"/>
    <w:rsid w:val="00CD518D"/>
    <w:rsid w:val="00CD597C"/>
    <w:rsid w:val="00CE3A9D"/>
    <w:rsid w:val="00CE47B4"/>
    <w:rsid w:val="00CE4D82"/>
    <w:rsid w:val="00CE5E5E"/>
    <w:rsid w:val="00CE76B4"/>
    <w:rsid w:val="00CF2345"/>
    <w:rsid w:val="00CF4945"/>
    <w:rsid w:val="00CF6415"/>
    <w:rsid w:val="00CF7B7E"/>
    <w:rsid w:val="00D02C08"/>
    <w:rsid w:val="00D0305A"/>
    <w:rsid w:val="00D0622D"/>
    <w:rsid w:val="00D0700C"/>
    <w:rsid w:val="00D121FA"/>
    <w:rsid w:val="00D14B97"/>
    <w:rsid w:val="00D16DF3"/>
    <w:rsid w:val="00D226DA"/>
    <w:rsid w:val="00D26972"/>
    <w:rsid w:val="00D322CC"/>
    <w:rsid w:val="00D36142"/>
    <w:rsid w:val="00D375D1"/>
    <w:rsid w:val="00D40279"/>
    <w:rsid w:val="00D43026"/>
    <w:rsid w:val="00D4373D"/>
    <w:rsid w:val="00D454A7"/>
    <w:rsid w:val="00D47517"/>
    <w:rsid w:val="00D500AA"/>
    <w:rsid w:val="00D5051B"/>
    <w:rsid w:val="00D50BCF"/>
    <w:rsid w:val="00D5104E"/>
    <w:rsid w:val="00D541D9"/>
    <w:rsid w:val="00D547D1"/>
    <w:rsid w:val="00D55157"/>
    <w:rsid w:val="00D55622"/>
    <w:rsid w:val="00D6122E"/>
    <w:rsid w:val="00D61492"/>
    <w:rsid w:val="00D632C7"/>
    <w:rsid w:val="00D639C6"/>
    <w:rsid w:val="00D65358"/>
    <w:rsid w:val="00D66EDC"/>
    <w:rsid w:val="00D714F3"/>
    <w:rsid w:val="00D722BE"/>
    <w:rsid w:val="00D741B2"/>
    <w:rsid w:val="00D75EA1"/>
    <w:rsid w:val="00D77D9D"/>
    <w:rsid w:val="00D80012"/>
    <w:rsid w:val="00D821BF"/>
    <w:rsid w:val="00D84DAC"/>
    <w:rsid w:val="00D858BE"/>
    <w:rsid w:val="00D85CEF"/>
    <w:rsid w:val="00D875E0"/>
    <w:rsid w:val="00D904CB"/>
    <w:rsid w:val="00D93314"/>
    <w:rsid w:val="00D97311"/>
    <w:rsid w:val="00D9777A"/>
    <w:rsid w:val="00DA3FC2"/>
    <w:rsid w:val="00DA579E"/>
    <w:rsid w:val="00DA650A"/>
    <w:rsid w:val="00DA74AF"/>
    <w:rsid w:val="00DB0559"/>
    <w:rsid w:val="00DB0B2F"/>
    <w:rsid w:val="00DB6140"/>
    <w:rsid w:val="00DB72AA"/>
    <w:rsid w:val="00DC009D"/>
    <w:rsid w:val="00DC0872"/>
    <w:rsid w:val="00DC18DE"/>
    <w:rsid w:val="00DC402A"/>
    <w:rsid w:val="00DC58D7"/>
    <w:rsid w:val="00DC69D8"/>
    <w:rsid w:val="00DC755B"/>
    <w:rsid w:val="00DD3321"/>
    <w:rsid w:val="00DD4ABE"/>
    <w:rsid w:val="00DE255E"/>
    <w:rsid w:val="00DE72D4"/>
    <w:rsid w:val="00DF2047"/>
    <w:rsid w:val="00DF55F9"/>
    <w:rsid w:val="00DF58EB"/>
    <w:rsid w:val="00DF649E"/>
    <w:rsid w:val="00DF6CA3"/>
    <w:rsid w:val="00E02A15"/>
    <w:rsid w:val="00E03367"/>
    <w:rsid w:val="00E042BC"/>
    <w:rsid w:val="00E05C52"/>
    <w:rsid w:val="00E07FEB"/>
    <w:rsid w:val="00E11BBC"/>
    <w:rsid w:val="00E1323B"/>
    <w:rsid w:val="00E1538D"/>
    <w:rsid w:val="00E20C31"/>
    <w:rsid w:val="00E2729B"/>
    <w:rsid w:val="00E27C07"/>
    <w:rsid w:val="00E309EA"/>
    <w:rsid w:val="00E31C3E"/>
    <w:rsid w:val="00E330EA"/>
    <w:rsid w:val="00E402FD"/>
    <w:rsid w:val="00E40C3F"/>
    <w:rsid w:val="00E450C7"/>
    <w:rsid w:val="00E46CDD"/>
    <w:rsid w:val="00E479EB"/>
    <w:rsid w:val="00E53F3F"/>
    <w:rsid w:val="00E546F9"/>
    <w:rsid w:val="00E60AB1"/>
    <w:rsid w:val="00E624B2"/>
    <w:rsid w:val="00E63045"/>
    <w:rsid w:val="00E657C0"/>
    <w:rsid w:val="00E666F3"/>
    <w:rsid w:val="00E67239"/>
    <w:rsid w:val="00E72E7F"/>
    <w:rsid w:val="00E7373F"/>
    <w:rsid w:val="00E73E55"/>
    <w:rsid w:val="00E81C91"/>
    <w:rsid w:val="00E83FC2"/>
    <w:rsid w:val="00E851E8"/>
    <w:rsid w:val="00E85772"/>
    <w:rsid w:val="00E86EAD"/>
    <w:rsid w:val="00E910FE"/>
    <w:rsid w:val="00E913A9"/>
    <w:rsid w:val="00E91512"/>
    <w:rsid w:val="00E966A2"/>
    <w:rsid w:val="00E97790"/>
    <w:rsid w:val="00EA6ECF"/>
    <w:rsid w:val="00EB014F"/>
    <w:rsid w:val="00EB1F26"/>
    <w:rsid w:val="00EB261D"/>
    <w:rsid w:val="00EB49AF"/>
    <w:rsid w:val="00EB5376"/>
    <w:rsid w:val="00EC1FA3"/>
    <w:rsid w:val="00EC2416"/>
    <w:rsid w:val="00EC3C49"/>
    <w:rsid w:val="00EC3F37"/>
    <w:rsid w:val="00EC5081"/>
    <w:rsid w:val="00EC5885"/>
    <w:rsid w:val="00EC7358"/>
    <w:rsid w:val="00EC758A"/>
    <w:rsid w:val="00ED11F8"/>
    <w:rsid w:val="00ED18FA"/>
    <w:rsid w:val="00ED28CE"/>
    <w:rsid w:val="00ED425B"/>
    <w:rsid w:val="00ED5885"/>
    <w:rsid w:val="00ED6A89"/>
    <w:rsid w:val="00EE2240"/>
    <w:rsid w:val="00EF312D"/>
    <w:rsid w:val="00EF3B08"/>
    <w:rsid w:val="00EF46CE"/>
    <w:rsid w:val="00EF5B60"/>
    <w:rsid w:val="00F01322"/>
    <w:rsid w:val="00F03022"/>
    <w:rsid w:val="00F03971"/>
    <w:rsid w:val="00F04C16"/>
    <w:rsid w:val="00F072AB"/>
    <w:rsid w:val="00F127EF"/>
    <w:rsid w:val="00F12F57"/>
    <w:rsid w:val="00F1692F"/>
    <w:rsid w:val="00F2001C"/>
    <w:rsid w:val="00F23487"/>
    <w:rsid w:val="00F24E84"/>
    <w:rsid w:val="00F25B4C"/>
    <w:rsid w:val="00F318E8"/>
    <w:rsid w:val="00F343FE"/>
    <w:rsid w:val="00F42211"/>
    <w:rsid w:val="00F43D89"/>
    <w:rsid w:val="00F47FF8"/>
    <w:rsid w:val="00F51497"/>
    <w:rsid w:val="00F52BA5"/>
    <w:rsid w:val="00F55B8B"/>
    <w:rsid w:val="00F56214"/>
    <w:rsid w:val="00F609BB"/>
    <w:rsid w:val="00F63DAF"/>
    <w:rsid w:val="00F702C3"/>
    <w:rsid w:val="00F70E1E"/>
    <w:rsid w:val="00F749CA"/>
    <w:rsid w:val="00F756C1"/>
    <w:rsid w:val="00F7623F"/>
    <w:rsid w:val="00F76719"/>
    <w:rsid w:val="00F77F0B"/>
    <w:rsid w:val="00F80534"/>
    <w:rsid w:val="00F80F2C"/>
    <w:rsid w:val="00F81A18"/>
    <w:rsid w:val="00F84BA4"/>
    <w:rsid w:val="00F85AEB"/>
    <w:rsid w:val="00F9122D"/>
    <w:rsid w:val="00F94445"/>
    <w:rsid w:val="00F952F6"/>
    <w:rsid w:val="00FA1C18"/>
    <w:rsid w:val="00FB257E"/>
    <w:rsid w:val="00FB26F1"/>
    <w:rsid w:val="00FB29DD"/>
    <w:rsid w:val="00FB6211"/>
    <w:rsid w:val="00FB6832"/>
    <w:rsid w:val="00FC1B5A"/>
    <w:rsid w:val="00FC3766"/>
    <w:rsid w:val="00FC53DA"/>
    <w:rsid w:val="00FD01C2"/>
    <w:rsid w:val="00FD0D8A"/>
    <w:rsid w:val="00FD3FAF"/>
    <w:rsid w:val="00FE0617"/>
    <w:rsid w:val="00FF1E14"/>
    <w:rsid w:val="00FF3945"/>
    <w:rsid w:val="00FF57A4"/>
    <w:rsid w:val="00FF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B4B92789-9130-418E-92C4-98E03BB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FF1E14"/>
    <w:pPr>
      <w:spacing w:line="240" w:lineRule="auto"/>
    </w:pPr>
    <w:rPr>
      <w:rFonts w:ascii="Times New Roman" w:hAnsi="Times New Roman"/>
      <w:b/>
      <w:bCs/>
    </w:rPr>
  </w:style>
  <w:style w:type="character" w:customStyle="1" w:styleId="KommentartextZchn">
    <w:name w:val="Kommentartext Zchn"/>
    <w:link w:val="Kommentartext"/>
    <w:semiHidden/>
    <w:rsid w:val="00FF1E14"/>
    <w:rPr>
      <w:rFonts w:ascii="Arial" w:hAnsi="Arial"/>
    </w:rPr>
  </w:style>
  <w:style w:type="character" w:customStyle="1" w:styleId="KommentarthemaZchn">
    <w:name w:val="Kommentarthema Zchn"/>
    <w:link w:val="Kommentarthema"/>
    <w:rsid w:val="00FF1E14"/>
    <w:rPr>
      <w:rFonts w:ascii="Arial" w:hAnsi="Arial"/>
      <w:b/>
      <w:bCs/>
    </w:rPr>
  </w:style>
  <w:style w:type="paragraph" w:styleId="Listenabsatz">
    <w:name w:val="List Paragraph"/>
    <w:basedOn w:val="Standard"/>
    <w:uiPriority w:val="34"/>
    <w:qFormat/>
    <w:rsid w:val="003C1733"/>
    <w:pPr>
      <w:ind w:left="720"/>
      <w:contextualSpacing/>
    </w:pPr>
  </w:style>
  <w:style w:type="character" w:customStyle="1" w:styleId="KopfzeileZchn">
    <w:name w:val="Kopfzeile Zchn"/>
    <w:link w:val="Kopfzeile"/>
    <w:rsid w:val="00E72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7C52-FFFA-484C-BA94-8E53D86E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5135</Words>
  <Characters>34435</Characters>
  <Application>Microsoft Office Word</Application>
  <DocSecurity>0</DocSecurity>
  <Lines>286</Lines>
  <Paragraphs>78</Paragraphs>
  <ScaleCrop>false</ScaleCrop>
  <HeadingPairs>
    <vt:vector size="2" baseType="variant">
      <vt:variant>
        <vt:lpstr>Titel</vt:lpstr>
      </vt:variant>
      <vt:variant>
        <vt:i4>1</vt:i4>
      </vt:variant>
    </vt:vector>
  </HeadingPairs>
  <TitlesOfParts>
    <vt:vector size="1" baseType="lpstr">
      <vt:lpstr>VII.14.0.H Bund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VII.14.0.H Bund </dc:title>
  <dc:subject>VII.14.0.H Bund (Richtlinie Ibw Bund)</dc:subject>
  <dc:creator>Z5</dc:creator>
  <cp:lastModifiedBy>Rieger, Angelika (StMB)</cp:lastModifiedBy>
  <cp:revision>20</cp:revision>
  <cp:lastPrinted>2019-10-24T14:48:00Z</cp:lastPrinted>
  <dcterms:created xsi:type="dcterms:W3CDTF">2021-05-25T13:38:00Z</dcterms:created>
  <dcterms:modified xsi:type="dcterms:W3CDTF">2021-05-28T10:55:00Z</dcterms:modified>
</cp:coreProperties>
</file>